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03" w:rsidRPr="00A22604" w:rsidRDefault="00754967" w:rsidP="00A22604">
      <w:pPr>
        <w:jc w:val="center"/>
        <w:rPr>
          <w:rFonts w:ascii="Arial Narrow" w:hAnsi="Arial Narrow"/>
          <w:b/>
          <w:sz w:val="28"/>
          <w:szCs w:val="28"/>
        </w:rPr>
      </w:pPr>
      <w:bookmarkStart w:id="0" w:name="_GoBack"/>
      <w:bookmarkEnd w:id="0"/>
      <w:r w:rsidRPr="00A22604">
        <w:rPr>
          <w:rFonts w:ascii="Arial Narrow" w:hAnsi="Arial Narrow"/>
          <w:b/>
          <w:sz w:val="28"/>
          <w:szCs w:val="28"/>
        </w:rPr>
        <w:t>Cuestionario</w:t>
      </w:r>
      <w:r w:rsidR="00207CE4" w:rsidRPr="00A22604">
        <w:rPr>
          <w:rFonts w:ascii="Arial Narrow" w:hAnsi="Arial Narrow"/>
          <w:b/>
          <w:sz w:val="28"/>
          <w:szCs w:val="28"/>
        </w:rPr>
        <w:t xml:space="preserve"> Nielsen Estudio de Consumo de Papa en los Hogares 2019</w:t>
      </w:r>
    </w:p>
    <w:p w:rsidR="00B877D6" w:rsidRPr="00A22604" w:rsidRDefault="00754967" w:rsidP="00754967">
      <w:pPr>
        <w:jc w:val="both"/>
        <w:rPr>
          <w:rFonts w:ascii="Arial Narrow" w:hAnsi="Arial Narrow"/>
          <w:sz w:val="28"/>
          <w:szCs w:val="28"/>
          <w:lang w:val="es-MX"/>
        </w:rPr>
      </w:pPr>
      <w:r w:rsidRPr="00A22604">
        <w:rPr>
          <w:rFonts w:ascii="Arial Narrow" w:hAnsi="Arial Narrow"/>
          <w:sz w:val="28"/>
          <w:szCs w:val="28"/>
          <w:lang w:val="es-MX"/>
        </w:rPr>
        <w:t xml:space="preserve">Para las siguientes preguntas se entiende </w:t>
      </w:r>
      <w:r w:rsidR="000C36EB" w:rsidRPr="00A22604">
        <w:rPr>
          <w:rFonts w:ascii="Arial Narrow" w:hAnsi="Arial Narrow"/>
          <w:sz w:val="28"/>
          <w:szCs w:val="28"/>
          <w:lang w:val="es-MX"/>
        </w:rPr>
        <w:t xml:space="preserve">como </w:t>
      </w:r>
      <w:r w:rsidRPr="00A22604">
        <w:rPr>
          <w:rFonts w:ascii="Arial Narrow" w:hAnsi="Arial Narrow"/>
          <w:b/>
          <w:i/>
          <w:sz w:val="28"/>
          <w:szCs w:val="28"/>
          <w:lang w:val="es-MX"/>
        </w:rPr>
        <w:t>primera metodología</w:t>
      </w:r>
      <w:r w:rsidRPr="00A22604">
        <w:rPr>
          <w:rFonts w:ascii="Arial Narrow" w:hAnsi="Arial Narrow"/>
          <w:sz w:val="28"/>
          <w:szCs w:val="28"/>
          <w:lang w:val="es-MX"/>
        </w:rPr>
        <w:t xml:space="preserve"> aquella </w:t>
      </w:r>
      <w:r w:rsidR="00455AFD" w:rsidRPr="00A22604">
        <w:rPr>
          <w:rFonts w:ascii="Arial Narrow" w:hAnsi="Arial Narrow"/>
          <w:sz w:val="28"/>
          <w:szCs w:val="28"/>
          <w:lang w:val="es-MX"/>
        </w:rPr>
        <w:t>aplicada</w:t>
      </w:r>
      <w:r w:rsidRPr="00A22604">
        <w:rPr>
          <w:rFonts w:ascii="Arial Narrow" w:hAnsi="Arial Narrow"/>
          <w:sz w:val="28"/>
          <w:szCs w:val="28"/>
          <w:lang w:val="es-MX"/>
        </w:rPr>
        <w:t xml:space="preserve"> </w:t>
      </w:r>
      <w:r w:rsidR="00AE5814" w:rsidRPr="00A22604">
        <w:rPr>
          <w:rFonts w:ascii="Arial Narrow" w:hAnsi="Arial Narrow"/>
          <w:sz w:val="28"/>
          <w:szCs w:val="28"/>
          <w:lang w:val="es-MX"/>
        </w:rPr>
        <w:t xml:space="preserve">por Nielsen </w:t>
      </w:r>
      <w:r w:rsidRPr="00A22604">
        <w:rPr>
          <w:rFonts w:ascii="Arial Narrow" w:hAnsi="Arial Narrow"/>
          <w:sz w:val="28"/>
          <w:szCs w:val="28"/>
          <w:lang w:val="es-MX"/>
        </w:rPr>
        <w:t xml:space="preserve">para el estudio de consumo de papa fresca en los hogares </w:t>
      </w:r>
      <w:r w:rsidR="000C36EB" w:rsidRPr="00A22604">
        <w:rPr>
          <w:rFonts w:ascii="Arial Narrow" w:hAnsi="Arial Narrow"/>
          <w:sz w:val="28"/>
          <w:szCs w:val="28"/>
          <w:lang w:val="es-MX"/>
        </w:rPr>
        <w:t xml:space="preserve">desde </w:t>
      </w:r>
      <w:r w:rsidRPr="00A22604">
        <w:rPr>
          <w:rFonts w:ascii="Arial Narrow" w:hAnsi="Arial Narrow"/>
          <w:sz w:val="28"/>
          <w:szCs w:val="28"/>
          <w:lang w:val="es-MX"/>
        </w:rPr>
        <w:t>mayo del 2017</w:t>
      </w:r>
      <w:r w:rsidR="00D57166" w:rsidRPr="00A22604">
        <w:rPr>
          <w:rFonts w:ascii="Arial Narrow" w:hAnsi="Arial Narrow"/>
          <w:sz w:val="28"/>
          <w:szCs w:val="28"/>
          <w:lang w:val="es-MX"/>
        </w:rPr>
        <w:t xml:space="preserve"> </w:t>
      </w:r>
      <w:r w:rsidRPr="00A22604">
        <w:rPr>
          <w:rFonts w:ascii="Arial Narrow" w:hAnsi="Arial Narrow"/>
          <w:sz w:val="28"/>
          <w:szCs w:val="28"/>
          <w:lang w:val="es-MX"/>
        </w:rPr>
        <w:t xml:space="preserve">hasta agosto del 2018. La </w:t>
      </w:r>
      <w:r w:rsidRPr="00A22604">
        <w:rPr>
          <w:rFonts w:ascii="Arial Narrow" w:hAnsi="Arial Narrow"/>
          <w:b/>
          <w:i/>
          <w:sz w:val="28"/>
          <w:szCs w:val="28"/>
          <w:lang w:val="es-MX"/>
        </w:rPr>
        <w:t>segunda metodología</w:t>
      </w:r>
      <w:r w:rsidRPr="00A22604">
        <w:rPr>
          <w:rFonts w:ascii="Arial Narrow" w:hAnsi="Arial Narrow"/>
          <w:b/>
          <w:sz w:val="28"/>
          <w:szCs w:val="28"/>
          <w:lang w:val="es-MX"/>
        </w:rPr>
        <w:t xml:space="preserve"> </w:t>
      </w:r>
      <w:r w:rsidRPr="00A22604">
        <w:rPr>
          <w:rFonts w:ascii="Arial Narrow" w:hAnsi="Arial Narrow"/>
          <w:sz w:val="28"/>
          <w:szCs w:val="28"/>
          <w:lang w:val="es-MX"/>
        </w:rPr>
        <w:t xml:space="preserve">se refiere a la que </w:t>
      </w:r>
      <w:r w:rsidR="00DB7E6C" w:rsidRPr="00A22604">
        <w:rPr>
          <w:rFonts w:ascii="Arial Narrow" w:hAnsi="Arial Narrow"/>
          <w:sz w:val="28"/>
          <w:szCs w:val="28"/>
          <w:lang w:val="es-MX"/>
        </w:rPr>
        <w:t>han usado</w:t>
      </w:r>
      <w:r w:rsidRPr="00A22604">
        <w:rPr>
          <w:rFonts w:ascii="Arial Narrow" w:hAnsi="Arial Narrow"/>
          <w:sz w:val="28"/>
          <w:szCs w:val="28"/>
          <w:lang w:val="es-MX"/>
        </w:rPr>
        <w:t xml:space="preserve"> para medir el consumo de papa fresca en los hogares desde mayo del 2019 en adelante.</w:t>
      </w:r>
    </w:p>
    <w:p w:rsidR="0088733C" w:rsidRPr="00A22604" w:rsidRDefault="00754967" w:rsidP="0088733C">
      <w:pPr>
        <w:pStyle w:val="Prrafodelista"/>
        <w:numPr>
          <w:ilvl w:val="0"/>
          <w:numId w:val="3"/>
        </w:numPr>
        <w:jc w:val="both"/>
        <w:rPr>
          <w:rFonts w:ascii="Arial Narrow" w:hAnsi="Arial Narrow"/>
          <w:sz w:val="28"/>
          <w:szCs w:val="28"/>
          <w:lang w:val="es-MX"/>
        </w:rPr>
      </w:pPr>
      <w:r w:rsidRPr="00A22604">
        <w:rPr>
          <w:rFonts w:ascii="Arial Narrow" w:hAnsi="Arial Narrow"/>
          <w:sz w:val="28"/>
          <w:szCs w:val="28"/>
          <w:lang w:val="es-MX"/>
        </w:rPr>
        <w:t xml:space="preserve">Describa la </w:t>
      </w:r>
      <w:r w:rsidRPr="00A22604">
        <w:rPr>
          <w:rFonts w:ascii="Arial Narrow" w:hAnsi="Arial Narrow"/>
          <w:i/>
          <w:sz w:val="28"/>
          <w:szCs w:val="28"/>
          <w:lang w:val="es-MX"/>
        </w:rPr>
        <w:t>segunda metodología</w:t>
      </w:r>
      <w:r w:rsidRPr="00A22604">
        <w:rPr>
          <w:rFonts w:ascii="Arial Narrow" w:hAnsi="Arial Narrow"/>
          <w:sz w:val="28"/>
          <w:szCs w:val="28"/>
          <w:lang w:val="es-MX"/>
        </w:rPr>
        <w:t xml:space="preserve"> y qué diferencias tiene con la </w:t>
      </w:r>
      <w:r w:rsidR="000C36EB" w:rsidRPr="00A22604">
        <w:rPr>
          <w:rFonts w:ascii="Arial Narrow" w:hAnsi="Arial Narrow"/>
          <w:i/>
          <w:sz w:val="28"/>
          <w:szCs w:val="28"/>
          <w:lang w:val="es-MX"/>
        </w:rPr>
        <w:t>primera metodología</w:t>
      </w:r>
      <w:r w:rsidR="000D7D23" w:rsidRPr="00A22604">
        <w:rPr>
          <w:rFonts w:ascii="Arial Narrow" w:hAnsi="Arial Narrow"/>
          <w:sz w:val="28"/>
          <w:szCs w:val="28"/>
          <w:lang w:val="es-MX"/>
        </w:rPr>
        <w:t>.</w:t>
      </w:r>
    </w:p>
    <w:p w:rsidR="00542EE1" w:rsidRPr="00A22604" w:rsidRDefault="00542EE1" w:rsidP="000D7D23">
      <w:pPr>
        <w:pStyle w:val="Prrafodelista"/>
        <w:ind w:left="1080"/>
        <w:jc w:val="both"/>
        <w:rPr>
          <w:rFonts w:ascii="Arial Narrow" w:hAnsi="Arial Narrow"/>
          <w:sz w:val="28"/>
          <w:szCs w:val="28"/>
          <w:lang w:val="es-MX"/>
        </w:rPr>
      </w:pPr>
    </w:p>
    <w:tbl>
      <w:tblPr>
        <w:tblStyle w:val="Tablaconcuadrcula"/>
        <w:tblW w:w="0" w:type="auto"/>
        <w:tblInd w:w="-72" w:type="dxa"/>
        <w:tblLook w:val="04A0" w:firstRow="1" w:lastRow="0" w:firstColumn="1" w:lastColumn="0" w:noHBand="0" w:noVBand="1"/>
      </w:tblPr>
      <w:tblGrid>
        <w:gridCol w:w="1800"/>
        <w:gridCol w:w="3330"/>
        <w:gridCol w:w="3662"/>
      </w:tblGrid>
      <w:tr w:rsidR="00D57166" w:rsidRPr="00A22604" w:rsidTr="00542EE1">
        <w:tc>
          <w:tcPr>
            <w:tcW w:w="1800" w:type="dxa"/>
          </w:tcPr>
          <w:p w:rsidR="00542EE1" w:rsidRPr="00A22604" w:rsidRDefault="00542EE1" w:rsidP="000D7D23">
            <w:pPr>
              <w:pStyle w:val="Prrafodelista"/>
              <w:ind w:left="0"/>
              <w:jc w:val="both"/>
              <w:rPr>
                <w:rFonts w:ascii="Arial Narrow" w:hAnsi="Arial Narrow"/>
                <w:color w:val="2E74B5" w:themeColor="accent5" w:themeShade="BF"/>
                <w:sz w:val="28"/>
                <w:szCs w:val="28"/>
                <w:lang w:val="es-MX"/>
              </w:rPr>
            </w:pPr>
          </w:p>
        </w:tc>
        <w:tc>
          <w:tcPr>
            <w:tcW w:w="3330" w:type="dxa"/>
          </w:tcPr>
          <w:p w:rsidR="00542EE1" w:rsidRPr="00A22604" w:rsidRDefault="00542EE1" w:rsidP="00A22604">
            <w:pPr>
              <w:pStyle w:val="Prrafodelista"/>
              <w:ind w:left="0"/>
              <w:jc w:val="center"/>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Primer Metodología</w:t>
            </w:r>
          </w:p>
        </w:tc>
        <w:tc>
          <w:tcPr>
            <w:tcW w:w="3662" w:type="dxa"/>
          </w:tcPr>
          <w:p w:rsidR="00542EE1" w:rsidRPr="00A22604" w:rsidRDefault="00542EE1" w:rsidP="00A22604">
            <w:pPr>
              <w:pStyle w:val="Prrafodelista"/>
              <w:ind w:left="0"/>
              <w:jc w:val="center"/>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Segunda Metodología</w:t>
            </w:r>
          </w:p>
        </w:tc>
      </w:tr>
      <w:tr w:rsidR="00D57166" w:rsidRPr="00A22604" w:rsidTr="00542EE1">
        <w:tc>
          <w:tcPr>
            <w:tcW w:w="1800" w:type="dxa"/>
          </w:tcPr>
          <w:p w:rsidR="00542EE1" w:rsidRPr="00A22604" w:rsidRDefault="00542EE1" w:rsidP="000D7D23">
            <w:pPr>
              <w:pStyle w:val="Prrafodelista"/>
              <w:ind w:left="0"/>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Colecta</w:t>
            </w:r>
          </w:p>
        </w:tc>
        <w:tc>
          <w:tcPr>
            <w:tcW w:w="3330" w:type="dxa"/>
          </w:tcPr>
          <w:p w:rsidR="00542EE1" w:rsidRPr="00A22604" w:rsidRDefault="00542EE1" w:rsidP="00542EE1">
            <w:pPr>
              <w:pStyle w:val="Prrafodelista"/>
              <w:numPr>
                <w:ilvl w:val="0"/>
                <w:numId w:val="6"/>
              </w:numPr>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 xml:space="preserve">Diario de Compra y Consumo en </w:t>
            </w:r>
            <w:r w:rsidRPr="00A22604">
              <w:rPr>
                <w:rFonts w:ascii="Arial Narrow" w:hAnsi="Arial Narrow"/>
                <w:b/>
                <w:color w:val="2E74B5" w:themeColor="accent5" w:themeShade="BF"/>
                <w:sz w:val="28"/>
                <w:szCs w:val="28"/>
                <w:lang w:val="es-MX"/>
              </w:rPr>
              <w:t>100% de hogares de la muestra</w:t>
            </w:r>
          </w:p>
          <w:p w:rsidR="00542EE1" w:rsidRPr="00A22604" w:rsidRDefault="00542EE1" w:rsidP="00542EE1">
            <w:pPr>
              <w:pStyle w:val="Prrafodelista"/>
              <w:numPr>
                <w:ilvl w:val="0"/>
                <w:numId w:val="6"/>
              </w:numPr>
              <w:jc w:val="both"/>
              <w:rPr>
                <w:rFonts w:ascii="Arial Narrow" w:hAnsi="Arial Narrow"/>
                <w:color w:val="2E74B5" w:themeColor="accent5" w:themeShade="BF"/>
                <w:sz w:val="28"/>
                <w:szCs w:val="28"/>
                <w:lang w:val="es-MX"/>
              </w:rPr>
            </w:pPr>
            <w:r w:rsidRPr="00A22604">
              <w:rPr>
                <w:rFonts w:ascii="Arial Narrow" w:hAnsi="Arial Narrow"/>
                <w:b/>
                <w:color w:val="2E74B5" w:themeColor="accent5" w:themeShade="BF"/>
                <w:sz w:val="28"/>
                <w:szCs w:val="28"/>
                <w:lang w:val="es-MX"/>
              </w:rPr>
              <w:t>Consumidores:</w:t>
            </w:r>
            <w:r w:rsidRPr="00A22604">
              <w:rPr>
                <w:rFonts w:ascii="Arial Narrow" w:hAnsi="Arial Narrow"/>
                <w:color w:val="2E74B5" w:themeColor="accent5" w:themeShade="BF"/>
                <w:sz w:val="28"/>
                <w:szCs w:val="28"/>
                <w:lang w:val="es-MX"/>
              </w:rPr>
              <w:t xml:space="preserve"> Pregunta a hogares (100% de la muestra)</w:t>
            </w:r>
          </w:p>
          <w:p w:rsidR="00542EE1" w:rsidRPr="00A22604" w:rsidRDefault="00542EE1" w:rsidP="00542EE1">
            <w:pPr>
              <w:pStyle w:val="Prrafodelista"/>
              <w:numPr>
                <w:ilvl w:val="0"/>
                <w:numId w:val="6"/>
              </w:numPr>
              <w:jc w:val="both"/>
              <w:rPr>
                <w:rFonts w:ascii="Arial Narrow" w:hAnsi="Arial Narrow"/>
                <w:color w:val="2E74B5" w:themeColor="accent5" w:themeShade="BF"/>
                <w:sz w:val="28"/>
                <w:szCs w:val="28"/>
                <w:lang w:val="es-MX"/>
              </w:rPr>
            </w:pPr>
            <w:r w:rsidRPr="00A22604">
              <w:rPr>
                <w:rFonts w:ascii="Arial Narrow" w:hAnsi="Arial Narrow"/>
                <w:b/>
                <w:color w:val="2E74B5" w:themeColor="accent5" w:themeShade="BF"/>
                <w:sz w:val="28"/>
                <w:szCs w:val="28"/>
                <w:lang w:val="es-MX"/>
              </w:rPr>
              <w:t>Otros Módulos (Lugar de Compra, Modo de cocción, etc.</w:t>
            </w:r>
            <w:r w:rsidRPr="00A22604">
              <w:rPr>
                <w:rFonts w:ascii="Arial Narrow" w:hAnsi="Arial Narrow"/>
                <w:color w:val="2E74B5" w:themeColor="accent5" w:themeShade="BF"/>
                <w:sz w:val="28"/>
                <w:szCs w:val="28"/>
                <w:lang w:val="es-MX"/>
              </w:rPr>
              <w:t>) Cada módulo en 1/3 de la muestra</w:t>
            </w:r>
          </w:p>
        </w:tc>
        <w:tc>
          <w:tcPr>
            <w:tcW w:w="3662" w:type="dxa"/>
          </w:tcPr>
          <w:p w:rsidR="00542EE1" w:rsidRPr="00A22604" w:rsidRDefault="00542EE1" w:rsidP="00542EE1">
            <w:pPr>
              <w:pStyle w:val="Prrafodelista"/>
              <w:numPr>
                <w:ilvl w:val="0"/>
                <w:numId w:val="6"/>
              </w:numPr>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 xml:space="preserve">Diario de Compra y Consumo en </w:t>
            </w:r>
            <w:r w:rsidRPr="00A22604">
              <w:rPr>
                <w:rFonts w:ascii="Arial Narrow" w:hAnsi="Arial Narrow"/>
                <w:b/>
                <w:color w:val="2E74B5" w:themeColor="accent5" w:themeShade="BF"/>
                <w:sz w:val="28"/>
                <w:szCs w:val="28"/>
                <w:lang w:val="es-MX"/>
              </w:rPr>
              <w:t>100% de hogares de la muestra.</w:t>
            </w:r>
          </w:p>
          <w:p w:rsidR="00542EE1" w:rsidRPr="00A22604" w:rsidRDefault="00542EE1" w:rsidP="00542EE1">
            <w:pPr>
              <w:pStyle w:val="Prrafodelista"/>
              <w:numPr>
                <w:ilvl w:val="0"/>
                <w:numId w:val="6"/>
              </w:numPr>
              <w:jc w:val="both"/>
              <w:rPr>
                <w:rFonts w:ascii="Arial Narrow" w:hAnsi="Arial Narrow"/>
                <w:color w:val="2E74B5" w:themeColor="accent5" w:themeShade="BF"/>
                <w:sz w:val="28"/>
                <w:szCs w:val="28"/>
                <w:lang w:val="es-MX"/>
              </w:rPr>
            </w:pPr>
            <w:r w:rsidRPr="00A22604">
              <w:rPr>
                <w:rFonts w:ascii="Arial Narrow" w:hAnsi="Arial Narrow"/>
                <w:b/>
                <w:color w:val="2E74B5" w:themeColor="accent5" w:themeShade="BF"/>
                <w:sz w:val="28"/>
                <w:szCs w:val="28"/>
                <w:lang w:val="es-MX"/>
              </w:rPr>
              <w:t xml:space="preserve">Consumidores: </w:t>
            </w:r>
            <w:r w:rsidRPr="00A22604">
              <w:rPr>
                <w:rFonts w:ascii="Arial Narrow" w:hAnsi="Arial Narrow"/>
                <w:color w:val="2E74B5" w:themeColor="accent5" w:themeShade="BF"/>
                <w:sz w:val="28"/>
                <w:szCs w:val="28"/>
                <w:lang w:val="es-MX"/>
              </w:rPr>
              <w:t>Componentes de los hogares de la muestra.</w:t>
            </w:r>
          </w:p>
          <w:p w:rsidR="00542EE1" w:rsidRPr="00A22604" w:rsidRDefault="00542EE1" w:rsidP="00542EE1">
            <w:pPr>
              <w:pStyle w:val="Prrafodelista"/>
              <w:numPr>
                <w:ilvl w:val="0"/>
                <w:numId w:val="6"/>
              </w:numPr>
              <w:jc w:val="both"/>
              <w:rPr>
                <w:rFonts w:ascii="Arial Narrow" w:hAnsi="Arial Narrow"/>
                <w:color w:val="2E74B5" w:themeColor="accent5" w:themeShade="BF"/>
                <w:sz w:val="28"/>
                <w:szCs w:val="28"/>
                <w:lang w:val="es-MX"/>
              </w:rPr>
            </w:pPr>
            <w:r w:rsidRPr="00A22604">
              <w:rPr>
                <w:rFonts w:ascii="Arial Narrow" w:hAnsi="Arial Narrow"/>
                <w:b/>
                <w:color w:val="2E74B5" w:themeColor="accent5" w:themeShade="BF"/>
                <w:sz w:val="28"/>
                <w:szCs w:val="28"/>
                <w:lang w:val="es-MX"/>
              </w:rPr>
              <w:t>Otros Módulos (Lugar de Compra, Modo de cocción, etc.</w:t>
            </w:r>
            <w:r w:rsidRPr="00A22604">
              <w:rPr>
                <w:rFonts w:ascii="Arial Narrow" w:hAnsi="Arial Narrow"/>
                <w:color w:val="2E74B5" w:themeColor="accent5" w:themeShade="BF"/>
                <w:sz w:val="28"/>
                <w:szCs w:val="28"/>
                <w:lang w:val="es-MX"/>
              </w:rPr>
              <w:t>) Cada módulo en 100% de la muestra</w:t>
            </w:r>
          </w:p>
        </w:tc>
      </w:tr>
      <w:tr w:rsidR="00D57166" w:rsidRPr="00A22604" w:rsidTr="00542EE1">
        <w:tc>
          <w:tcPr>
            <w:tcW w:w="1800" w:type="dxa"/>
          </w:tcPr>
          <w:p w:rsidR="00542EE1" w:rsidRPr="00A22604" w:rsidRDefault="009A1803" w:rsidP="000D7D23">
            <w:pPr>
              <w:pStyle w:val="Prrafodelista"/>
              <w:ind w:left="0"/>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Alcance Mercados</w:t>
            </w:r>
          </w:p>
        </w:tc>
        <w:tc>
          <w:tcPr>
            <w:tcW w:w="3330" w:type="dxa"/>
          </w:tcPr>
          <w:p w:rsidR="00542EE1" w:rsidRPr="00A22604" w:rsidRDefault="009A1803" w:rsidP="000D7D23">
            <w:pPr>
              <w:pStyle w:val="Prrafodelista"/>
              <w:ind w:left="0"/>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9 Ciudades/11 Ciudades</w:t>
            </w:r>
          </w:p>
        </w:tc>
        <w:tc>
          <w:tcPr>
            <w:tcW w:w="3662" w:type="dxa"/>
          </w:tcPr>
          <w:p w:rsidR="00542EE1" w:rsidRPr="00A22604" w:rsidRDefault="009A1803" w:rsidP="000D7D23">
            <w:pPr>
              <w:pStyle w:val="Prrafodelista"/>
              <w:ind w:left="0"/>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9 Ciudades/11 Ciudades</w:t>
            </w:r>
          </w:p>
        </w:tc>
      </w:tr>
      <w:tr w:rsidR="00D57166" w:rsidRPr="00A22604" w:rsidTr="00542EE1">
        <w:tc>
          <w:tcPr>
            <w:tcW w:w="1800" w:type="dxa"/>
          </w:tcPr>
          <w:p w:rsidR="00542EE1" w:rsidRPr="00A22604" w:rsidRDefault="009A1803" w:rsidP="000D7D23">
            <w:pPr>
              <w:pStyle w:val="Prrafodelista"/>
              <w:ind w:left="0"/>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Alcance Hogares</w:t>
            </w:r>
          </w:p>
        </w:tc>
        <w:tc>
          <w:tcPr>
            <w:tcW w:w="3330" w:type="dxa"/>
          </w:tcPr>
          <w:p w:rsidR="00CF0541" w:rsidRDefault="009A1803" w:rsidP="00CF0541">
            <w:pPr>
              <w:pStyle w:val="Prrafodelista"/>
              <w:ind w:left="0"/>
              <w:jc w:val="both"/>
              <w:rPr>
                <w:rFonts w:ascii="Arial Narrow" w:hAnsi="Arial Narrow"/>
                <w:b/>
                <w:color w:val="2E74B5" w:themeColor="accent5" w:themeShade="BF"/>
                <w:sz w:val="28"/>
                <w:szCs w:val="28"/>
                <w:lang w:val="es-MX"/>
              </w:rPr>
            </w:pPr>
            <w:r w:rsidRPr="00A22604">
              <w:rPr>
                <w:rFonts w:ascii="Arial Narrow" w:hAnsi="Arial Narrow"/>
                <w:color w:val="2E74B5" w:themeColor="accent5" w:themeShade="BF"/>
                <w:sz w:val="28"/>
                <w:szCs w:val="28"/>
                <w:lang w:val="es-MX"/>
              </w:rPr>
              <w:t>4</w:t>
            </w:r>
            <w:r w:rsidR="00CF0541">
              <w:rPr>
                <w:rFonts w:ascii="Arial Narrow" w:hAnsi="Arial Narrow"/>
                <w:color w:val="2E74B5" w:themeColor="accent5" w:themeShade="BF"/>
                <w:sz w:val="28"/>
                <w:szCs w:val="28"/>
                <w:lang w:val="es-MX"/>
              </w:rPr>
              <w:t>.</w:t>
            </w:r>
            <w:r w:rsidRPr="00A22604">
              <w:rPr>
                <w:rFonts w:ascii="Arial Narrow" w:hAnsi="Arial Narrow"/>
                <w:color w:val="2E74B5" w:themeColor="accent5" w:themeShade="BF"/>
                <w:sz w:val="28"/>
                <w:szCs w:val="28"/>
                <w:lang w:val="es-MX"/>
              </w:rPr>
              <w:t xml:space="preserve">000 Hogares colaboradores </w:t>
            </w:r>
            <w:r w:rsidR="00CF0541">
              <w:rPr>
                <w:rFonts w:ascii="Arial Narrow" w:hAnsi="Arial Narrow"/>
                <w:b/>
                <w:color w:val="2E74B5" w:themeColor="accent5" w:themeShade="BF"/>
                <w:sz w:val="28"/>
                <w:szCs w:val="28"/>
                <w:lang w:val="es-MX"/>
              </w:rPr>
              <w:t>(No proyectado</w:t>
            </w:r>
          </w:p>
          <w:p w:rsidR="00CF0541" w:rsidRDefault="00CF0541" w:rsidP="00CF0541">
            <w:pPr>
              <w:pStyle w:val="Prrafodelista"/>
              <w:ind w:left="0"/>
              <w:jc w:val="both"/>
              <w:rPr>
                <w:rFonts w:ascii="Arial Narrow" w:hAnsi="Arial Narrow"/>
                <w:b/>
                <w:color w:val="2E74B5" w:themeColor="accent5" w:themeShade="BF"/>
                <w:sz w:val="28"/>
                <w:szCs w:val="28"/>
                <w:lang w:val="es-MX"/>
              </w:rPr>
            </w:pPr>
          </w:p>
          <w:p w:rsidR="00CF0541" w:rsidRPr="00CF0541" w:rsidRDefault="00CF0541" w:rsidP="00CF0541">
            <w:pPr>
              <w:pStyle w:val="Prrafodelista"/>
              <w:ind w:left="0"/>
              <w:jc w:val="both"/>
              <w:rPr>
                <w:rFonts w:ascii="Arial Narrow" w:hAnsi="Arial Narrow"/>
                <w:b/>
                <w:color w:val="2E74B5" w:themeColor="accent5" w:themeShade="BF"/>
                <w:sz w:val="28"/>
                <w:szCs w:val="28"/>
                <w:lang w:val="es-MX"/>
              </w:rPr>
            </w:pPr>
            <w:r>
              <w:rPr>
                <w:rFonts w:ascii="Arial Narrow" w:hAnsi="Arial Narrow"/>
                <w:color w:val="2E74B5" w:themeColor="accent5" w:themeShade="BF"/>
                <w:sz w:val="28"/>
                <w:szCs w:val="28"/>
                <w:lang w:val="es-MX"/>
              </w:rPr>
              <w:t>15</w:t>
            </w:r>
            <w:r w:rsidRPr="00A32924">
              <w:rPr>
                <w:rFonts w:ascii="Arial Narrow" w:hAnsi="Arial Narrow"/>
                <w:color w:val="2E74B5" w:themeColor="accent5" w:themeShade="BF"/>
                <w:sz w:val="28"/>
                <w:szCs w:val="28"/>
                <w:lang w:val="es-MX"/>
              </w:rPr>
              <w:t>.</w:t>
            </w:r>
            <w:r>
              <w:rPr>
                <w:rFonts w:ascii="Arial Narrow" w:hAnsi="Arial Narrow"/>
                <w:color w:val="2E74B5" w:themeColor="accent5" w:themeShade="BF"/>
                <w:sz w:val="28"/>
                <w:szCs w:val="28"/>
                <w:lang w:val="es-MX"/>
              </w:rPr>
              <w:t>820 personas</w:t>
            </w:r>
          </w:p>
          <w:p w:rsidR="00CF0541" w:rsidRPr="00A22604" w:rsidRDefault="00CF0541" w:rsidP="00CF0541">
            <w:pPr>
              <w:pStyle w:val="Prrafodelista"/>
              <w:ind w:left="0"/>
              <w:jc w:val="both"/>
              <w:rPr>
                <w:rFonts w:ascii="Arial Narrow" w:hAnsi="Arial Narrow"/>
                <w:color w:val="2E74B5" w:themeColor="accent5" w:themeShade="BF"/>
                <w:sz w:val="28"/>
                <w:szCs w:val="28"/>
                <w:lang w:val="es-MX"/>
              </w:rPr>
            </w:pPr>
            <w:r w:rsidRPr="00616946">
              <w:rPr>
                <w:rFonts w:ascii="Arial Narrow" w:hAnsi="Arial Narrow"/>
                <w:b/>
                <w:color w:val="2E74B5" w:themeColor="accent5" w:themeShade="BF"/>
                <w:sz w:val="28"/>
                <w:szCs w:val="28"/>
                <w:lang w:val="es-MX"/>
              </w:rPr>
              <w:t>(No proyectado)</w:t>
            </w:r>
          </w:p>
        </w:tc>
        <w:tc>
          <w:tcPr>
            <w:tcW w:w="3662" w:type="dxa"/>
          </w:tcPr>
          <w:p w:rsidR="00A32924" w:rsidRDefault="009A1803" w:rsidP="00A22604">
            <w:pPr>
              <w:pStyle w:val="Prrafodelista"/>
              <w:ind w:left="0"/>
              <w:jc w:val="both"/>
              <w:rPr>
                <w:rFonts w:ascii="Arial Narrow" w:hAnsi="Arial Narrow"/>
                <w:b/>
                <w:color w:val="2E74B5" w:themeColor="accent5" w:themeShade="BF"/>
                <w:sz w:val="28"/>
                <w:szCs w:val="28"/>
                <w:lang w:val="es-MX"/>
              </w:rPr>
            </w:pPr>
            <w:r w:rsidRPr="00A22604">
              <w:rPr>
                <w:rFonts w:ascii="Arial Narrow" w:hAnsi="Arial Narrow"/>
                <w:color w:val="2E74B5" w:themeColor="accent5" w:themeShade="BF"/>
                <w:sz w:val="28"/>
                <w:szCs w:val="28"/>
                <w:lang w:val="es-MX"/>
              </w:rPr>
              <w:t>Universo</w:t>
            </w:r>
            <w:r w:rsidR="00A22604" w:rsidRPr="00A22604">
              <w:rPr>
                <w:rFonts w:ascii="Arial Narrow" w:hAnsi="Arial Narrow"/>
                <w:color w:val="2E74B5" w:themeColor="accent5" w:themeShade="BF"/>
                <w:sz w:val="28"/>
                <w:szCs w:val="28"/>
                <w:lang w:val="es-MX"/>
              </w:rPr>
              <w:t xml:space="preserve"> de Hogares de 11 Ciudades (5.4 </w:t>
            </w:r>
            <w:r w:rsidRPr="00A22604">
              <w:rPr>
                <w:rFonts w:ascii="Arial Narrow" w:hAnsi="Arial Narrow"/>
                <w:color w:val="2E74B5" w:themeColor="accent5" w:themeShade="BF"/>
                <w:sz w:val="28"/>
                <w:szCs w:val="28"/>
                <w:lang w:val="es-MX"/>
              </w:rPr>
              <w:t xml:space="preserve">millones). </w:t>
            </w:r>
            <w:r w:rsidRPr="00A22604">
              <w:rPr>
                <w:rFonts w:ascii="Arial Narrow" w:hAnsi="Arial Narrow"/>
                <w:b/>
                <w:color w:val="2E74B5" w:themeColor="accent5" w:themeShade="BF"/>
                <w:sz w:val="28"/>
                <w:szCs w:val="28"/>
                <w:lang w:val="es-MX"/>
              </w:rPr>
              <w:t>Proyectado a este universo</w:t>
            </w:r>
          </w:p>
          <w:p w:rsidR="00A32924" w:rsidRDefault="00A32924" w:rsidP="00A22604">
            <w:pPr>
              <w:pStyle w:val="Prrafodelista"/>
              <w:ind w:left="0"/>
              <w:jc w:val="both"/>
              <w:rPr>
                <w:rFonts w:ascii="Arial Narrow" w:hAnsi="Arial Narrow"/>
                <w:b/>
                <w:color w:val="2E74B5" w:themeColor="accent5" w:themeShade="BF"/>
                <w:sz w:val="28"/>
                <w:szCs w:val="28"/>
                <w:lang w:val="es-MX"/>
              </w:rPr>
            </w:pPr>
          </w:p>
          <w:p w:rsidR="00A32924" w:rsidRDefault="00A32924" w:rsidP="00A22604">
            <w:pPr>
              <w:pStyle w:val="Prrafodelista"/>
              <w:ind w:left="0"/>
              <w:jc w:val="both"/>
              <w:rPr>
                <w:rFonts w:ascii="Arial Narrow" w:hAnsi="Arial Narrow"/>
                <w:color w:val="2E74B5" w:themeColor="accent5" w:themeShade="BF"/>
                <w:sz w:val="28"/>
                <w:szCs w:val="28"/>
                <w:lang w:val="es-MX"/>
              </w:rPr>
            </w:pPr>
            <w:r w:rsidRPr="00A32924">
              <w:rPr>
                <w:rFonts w:ascii="Arial Narrow" w:hAnsi="Arial Narrow"/>
                <w:color w:val="2E74B5" w:themeColor="accent5" w:themeShade="BF"/>
                <w:sz w:val="28"/>
                <w:szCs w:val="28"/>
                <w:lang w:val="es-MX"/>
              </w:rPr>
              <w:t>Universo de personas: 19.910.883</w:t>
            </w:r>
          </w:p>
          <w:p w:rsidR="00A32924" w:rsidRPr="00A32924" w:rsidRDefault="00A32924" w:rsidP="00A22604">
            <w:pPr>
              <w:pStyle w:val="Prrafodelista"/>
              <w:ind w:left="0"/>
              <w:jc w:val="both"/>
              <w:rPr>
                <w:rFonts w:ascii="Arial Narrow" w:hAnsi="Arial Narrow"/>
                <w:color w:val="2E74B5" w:themeColor="accent5" w:themeShade="BF"/>
                <w:sz w:val="28"/>
                <w:szCs w:val="28"/>
                <w:lang w:val="es-MX"/>
              </w:rPr>
            </w:pPr>
            <w:r w:rsidRPr="00A22604">
              <w:rPr>
                <w:rFonts w:ascii="Arial Narrow" w:hAnsi="Arial Narrow"/>
                <w:b/>
                <w:color w:val="2E74B5" w:themeColor="accent5" w:themeShade="BF"/>
                <w:sz w:val="28"/>
                <w:szCs w:val="28"/>
                <w:lang w:val="es-MX"/>
              </w:rPr>
              <w:t>Proyectado a este universo</w:t>
            </w:r>
          </w:p>
        </w:tc>
      </w:tr>
      <w:tr w:rsidR="00D57166" w:rsidRPr="00A22604" w:rsidTr="00542EE1">
        <w:tc>
          <w:tcPr>
            <w:tcW w:w="1800" w:type="dxa"/>
          </w:tcPr>
          <w:p w:rsidR="00542EE1" w:rsidRPr="00A22604" w:rsidRDefault="009A1803" w:rsidP="000D7D23">
            <w:pPr>
              <w:pStyle w:val="Prrafodelista"/>
              <w:ind w:left="0"/>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Controles de Calidad</w:t>
            </w:r>
          </w:p>
        </w:tc>
        <w:tc>
          <w:tcPr>
            <w:tcW w:w="3330" w:type="dxa"/>
          </w:tcPr>
          <w:p w:rsidR="00A22604" w:rsidRPr="00A22604" w:rsidRDefault="00A22604" w:rsidP="00A22604">
            <w:pPr>
              <w:pStyle w:val="Prrafodelista"/>
              <w:numPr>
                <w:ilvl w:val="0"/>
                <w:numId w:val="7"/>
              </w:numPr>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Controles manuales a nivel periodo – Ciudad</w:t>
            </w:r>
          </w:p>
          <w:p w:rsidR="00542EE1" w:rsidRPr="00A22604" w:rsidRDefault="00542EE1" w:rsidP="00A22604">
            <w:pPr>
              <w:pStyle w:val="Prrafodelista"/>
              <w:ind w:left="0"/>
              <w:jc w:val="both"/>
              <w:rPr>
                <w:rFonts w:ascii="Arial Narrow" w:hAnsi="Arial Narrow"/>
                <w:color w:val="2E74B5" w:themeColor="accent5" w:themeShade="BF"/>
                <w:sz w:val="28"/>
                <w:szCs w:val="28"/>
                <w:lang w:val="es-MX"/>
              </w:rPr>
            </w:pPr>
          </w:p>
        </w:tc>
        <w:tc>
          <w:tcPr>
            <w:tcW w:w="3662" w:type="dxa"/>
          </w:tcPr>
          <w:p w:rsidR="00542EE1" w:rsidRPr="00A22604" w:rsidRDefault="009A1803" w:rsidP="009A1803">
            <w:pPr>
              <w:pStyle w:val="Prrafodelista"/>
              <w:numPr>
                <w:ilvl w:val="0"/>
                <w:numId w:val="7"/>
              </w:numPr>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 xml:space="preserve">Controles </w:t>
            </w:r>
            <w:r w:rsidR="00A22604" w:rsidRPr="00A22604">
              <w:rPr>
                <w:rFonts w:ascii="Arial Narrow" w:hAnsi="Arial Narrow"/>
                <w:color w:val="2E74B5" w:themeColor="accent5" w:themeShade="BF"/>
                <w:sz w:val="28"/>
                <w:szCs w:val="28"/>
                <w:lang w:val="es-MX"/>
              </w:rPr>
              <w:t>Estándar</w:t>
            </w:r>
            <w:r w:rsidRPr="00A22604">
              <w:rPr>
                <w:rFonts w:ascii="Arial Narrow" w:hAnsi="Arial Narrow"/>
                <w:color w:val="2E74B5" w:themeColor="accent5" w:themeShade="BF"/>
                <w:sz w:val="28"/>
                <w:szCs w:val="28"/>
                <w:lang w:val="es-MX"/>
              </w:rPr>
              <w:t xml:space="preserve"> a nivel periodo – Ciudad</w:t>
            </w:r>
          </w:p>
          <w:p w:rsidR="009A1803" w:rsidRPr="00A22604" w:rsidRDefault="009A1803" w:rsidP="009A1803">
            <w:pPr>
              <w:pStyle w:val="Prrafodelista"/>
              <w:numPr>
                <w:ilvl w:val="0"/>
                <w:numId w:val="7"/>
              </w:numPr>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Controles Longitudinales considerando consumo previo.</w:t>
            </w:r>
          </w:p>
        </w:tc>
      </w:tr>
    </w:tbl>
    <w:p w:rsidR="00542EE1" w:rsidRPr="00A22604" w:rsidRDefault="00542EE1" w:rsidP="000D7D23">
      <w:pPr>
        <w:pStyle w:val="Prrafodelista"/>
        <w:ind w:left="1080"/>
        <w:jc w:val="both"/>
        <w:rPr>
          <w:rFonts w:ascii="Arial Narrow" w:hAnsi="Arial Narrow"/>
          <w:sz w:val="28"/>
          <w:szCs w:val="28"/>
          <w:lang w:val="es-MX"/>
        </w:rPr>
      </w:pPr>
    </w:p>
    <w:p w:rsidR="00063D4B" w:rsidRPr="00A22604" w:rsidRDefault="00063D4B" w:rsidP="00063D4B">
      <w:pPr>
        <w:pStyle w:val="Prrafodelista"/>
        <w:numPr>
          <w:ilvl w:val="0"/>
          <w:numId w:val="3"/>
        </w:numPr>
        <w:jc w:val="both"/>
        <w:rPr>
          <w:rFonts w:ascii="Arial Narrow" w:hAnsi="Arial Narrow"/>
          <w:sz w:val="28"/>
          <w:szCs w:val="28"/>
          <w:lang w:val="es-MX"/>
        </w:rPr>
      </w:pPr>
      <w:r w:rsidRPr="00A22604">
        <w:rPr>
          <w:rFonts w:ascii="Arial Narrow" w:hAnsi="Arial Narrow"/>
          <w:sz w:val="28"/>
          <w:szCs w:val="28"/>
          <w:lang w:val="es-MX"/>
        </w:rPr>
        <w:t xml:space="preserve">¿De qué manera </w:t>
      </w:r>
      <w:r w:rsidR="007E4CE5" w:rsidRPr="00A22604">
        <w:rPr>
          <w:rFonts w:ascii="Arial Narrow" w:hAnsi="Arial Narrow"/>
          <w:sz w:val="28"/>
          <w:szCs w:val="28"/>
          <w:lang w:val="es-MX"/>
        </w:rPr>
        <w:t xml:space="preserve">las </w:t>
      </w:r>
      <w:r w:rsidR="00373ABE" w:rsidRPr="00A22604">
        <w:rPr>
          <w:rFonts w:ascii="Arial Narrow" w:hAnsi="Arial Narrow"/>
          <w:sz w:val="28"/>
          <w:szCs w:val="28"/>
          <w:lang w:val="es-MX"/>
        </w:rPr>
        <w:t xml:space="preserve">diferencias </w:t>
      </w:r>
      <w:r w:rsidR="007E4CE5" w:rsidRPr="00A22604">
        <w:rPr>
          <w:rFonts w:ascii="Arial Narrow" w:hAnsi="Arial Narrow"/>
          <w:sz w:val="28"/>
          <w:szCs w:val="28"/>
          <w:lang w:val="es-MX"/>
        </w:rPr>
        <w:t xml:space="preserve">entre metodologías descritas en la pregunta anterior </w:t>
      </w:r>
      <w:r w:rsidR="00373ABE" w:rsidRPr="00A22604">
        <w:rPr>
          <w:rFonts w:ascii="Arial Narrow" w:hAnsi="Arial Narrow"/>
          <w:sz w:val="28"/>
          <w:szCs w:val="28"/>
          <w:lang w:val="es-MX"/>
        </w:rPr>
        <w:t>afectan</w:t>
      </w:r>
      <w:r w:rsidRPr="00A22604">
        <w:rPr>
          <w:rFonts w:ascii="Arial Narrow" w:hAnsi="Arial Narrow"/>
          <w:sz w:val="28"/>
          <w:szCs w:val="28"/>
          <w:lang w:val="es-MX"/>
        </w:rPr>
        <w:t xml:space="preserve"> la interpretación de los resultados </w:t>
      </w:r>
      <w:r w:rsidR="007E4CE5" w:rsidRPr="00A22604">
        <w:rPr>
          <w:rFonts w:ascii="Arial Narrow" w:hAnsi="Arial Narrow"/>
          <w:sz w:val="28"/>
          <w:szCs w:val="28"/>
          <w:lang w:val="es-MX"/>
        </w:rPr>
        <w:t xml:space="preserve">de </w:t>
      </w:r>
      <w:r w:rsidRPr="00A22604">
        <w:rPr>
          <w:rFonts w:ascii="Arial Narrow" w:hAnsi="Arial Narrow"/>
          <w:sz w:val="28"/>
          <w:szCs w:val="28"/>
          <w:lang w:val="es-MX"/>
        </w:rPr>
        <w:t>las siguientes preguntas</w:t>
      </w:r>
      <w:r w:rsidR="00A46171" w:rsidRPr="00A22604">
        <w:rPr>
          <w:rFonts w:ascii="Arial Narrow" w:hAnsi="Arial Narrow"/>
          <w:sz w:val="28"/>
          <w:szCs w:val="28"/>
          <w:lang w:val="es-MX"/>
        </w:rPr>
        <w:t>?</w:t>
      </w:r>
      <w:r w:rsidR="007E4CE5" w:rsidRPr="00A22604">
        <w:rPr>
          <w:rFonts w:ascii="Arial Narrow" w:hAnsi="Arial Narrow"/>
          <w:sz w:val="28"/>
          <w:szCs w:val="28"/>
          <w:lang w:val="es-MX"/>
        </w:rPr>
        <w:t>:</w:t>
      </w:r>
      <w:r w:rsidRPr="00A22604">
        <w:rPr>
          <w:rFonts w:ascii="Arial Narrow" w:hAnsi="Arial Narrow"/>
          <w:sz w:val="28"/>
          <w:szCs w:val="28"/>
          <w:lang w:val="es-MX"/>
        </w:rPr>
        <w:t xml:space="preserve"> </w:t>
      </w:r>
    </w:p>
    <w:p w:rsidR="00063D4B" w:rsidRPr="00A22604" w:rsidRDefault="00063D4B" w:rsidP="00063D4B">
      <w:pPr>
        <w:pStyle w:val="Prrafodelista"/>
        <w:rPr>
          <w:rFonts w:ascii="Arial Narrow" w:hAnsi="Arial Narrow"/>
          <w:sz w:val="28"/>
          <w:szCs w:val="28"/>
          <w:lang w:val="es-MX"/>
        </w:rPr>
      </w:pPr>
    </w:p>
    <w:p w:rsidR="00063D4B" w:rsidRPr="00A22604" w:rsidRDefault="00063D4B" w:rsidP="00063D4B">
      <w:pPr>
        <w:pStyle w:val="Prrafodelista"/>
        <w:ind w:left="1080"/>
        <w:jc w:val="both"/>
        <w:rPr>
          <w:rFonts w:ascii="Arial Narrow" w:hAnsi="Arial Narrow"/>
          <w:sz w:val="28"/>
          <w:szCs w:val="28"/>
          <w:lang w:val="es-MX"/>
        </w:rPr>
      </w:pPr>
    </w:p>
    <w:p w:rsidR="00B72703" w:rsidRPr="00A22604" w:rsidRDefault="007876B7" w:rsidP="00063D4B">
      <w:pPr>
        <w:pStyle w:val="Prrafodelista"/>
        <w:numPr>
          <w:ilvl w:val="0"/>
          <w:numId w:val="5"/>
        </w:numPr>
        <w:jc w:val="both"/>
        <w:rPr>
          <w:rFonts w:ascii="Arial Narrow" w:hAnsi="Arial Narrow"/>
          <w:sz w:val="28"/>
          <w:szCs w:val="28"/>
          <w:lang w:val="es-MX"/>
        </w:rPr>
      </w:pPr>
      <w:r w:rsidRPr="00A22604">
        <w:rPr>
          <w:rFonts w:ascii="Arial Narrow" w:hAnsi="Arial Narrow"/>
          <w:sz w:val="28"/>
          <w:szCs w:val="28"/>
          <w:lang w:val="es-MX"/>
        </w:rPr>
        <w:t xml:space="preserve">En la presentación de Nielsen </w:t>
      </w:r>
      <w:r w:rsidR="00AE5814" w:rsidRPr="00A22604">
        <w:rPr>
          <w:rFonts w:ascii="Arial Narrow" w:hAnsi="Arial Narrow"/>
          <w:sz w:val="28"/>
          <w:szCs w:val="28"/>
          <w:lang w:val="es-MX"/>
        </w:rPr>
        <w:t xml:space="preserve">de la </w:t>
      </w:r>
      <w:r w:rsidR="00AE5814" w:rsidRPr="00A22604">
        <w:rPr>
          <w:rFonts w:ascii="Arial Narrow" w:hAnsi="Arial Narrow"/>
          <w:i/>
          <w:sz w:val="28"/>
          <w:szCs w:val="28"/>
          <w:lang w:val="es-MX"/>
        </w:rPr>
        <w:t>primera metodología</w:t>
      </w:r>
      <w:r w:rsidR="00411B3C" w:rsidRPr="00A22604">
        <w:rPr>
          <w:rFonts w:ascii="Arial Narrow" w:hAnsi="Arial Narrow"/>
          <w:i/>
          <w:sz w:val="28"/>
          <w:szCs w:val="28"/>
          <w:lang w:val="es-MX"/>
        </w:rPr>
        <w:t xml:space="preserve"> </w:t>
      </w:r>
      <w:r w:rsidR="00411B3C" w:rsidRPr="00A22604">
        <w:rPr>
          <w:rFonts w:ascii="Arial Narrow" w:hAnsi="Arial Narrow"/>
          <w:sz w:val="28"/>
          <w:szCs w:val="28"/>
          <w:lang w:val="es-MX"/>
        </w:rPr>
        <w:t>de</w:t>
      </w:r>
      <w:r w:rsidRPr="00A22604">
        <w:rPr>
          <w:rFonts w:ascii="Arial Narrow" w:hAnsi="Arial Narrow"/>
          <w:sz w:val="28"/>
          <w:szCs w:val="28"/>
          <w:lang w:val="es-MX"/>
        </w:rPr>
        <w:t xml:space="preserve"> agosto del 2018, </w:t>
      </w:r>
      <w:r w:rsidR="001C0E66" w:rsidRPr="00A22604">
        <w:rPr>
          <w:rFonts w:ascii="Arial Narrow" w:hAnsi="Arial Narrow"/>
          <w:sz w:val="28"/>
          <w:szCs w:val="28"/>
          <w:lang w:val="es-MX"/>
        </w:rPr>
        <w:t xml:space="preserve">las siguientes ciudades </w:t>
      </w:r>
      <w:r w:rsidR="00411B3C" w:rsidRPr="00A22604">
        <w:rPr>
          <w:rFonts w:ascii="Arial Narrow" w:hAnsi="Arial Narrow"/>
          <w:sz w:val="28"/>
          <w:szCs w:val="28"/>
          <w:lang w:val="es-MX"/>
        </w:rPr>
        <w:t xml:space="preserve">presentaron una variación positiva en el consumo </w:t>
      </w:r>
      <w:r w:rsidR="00B72703" w:rsidRPr="00A22604">
        <w:rPr>
          <w:rFonts w:ascii="Arial Narrow" w:hAnsi="Arial Narrow"/>
          <w:sz w:val="28"/>
          <w:szCs w:val="28"/>
          <w:lang w:val="es-MX"/>
        </w:rPr>
        <w:t>per cápita</w:t>
      </w:r>
      <w:r w:rsidR="00411B3C" w:rsidRPr="00A22604">
        <w:rPr>
          <w:rFonts w:ascii="Arial Narrow" w:hAnsi="Arial Narrow"/>
          <w:sz w:val="28"/>
          <w:szCs w:val="28"/>
          <w:lang w:val="es-MX"/>
        </w:rPr>
        <w:t xml:space="preserve"> (2018 vs 2017</w:t>
      </w:r>
      <w:r w:rsidR="00252153" w:rsidRPr="00A22604">
        <w:rPr>
          <w:rFonts w:ascii="Arial Narrow" w:hAnsi="Arial Narrow"/>
          <w:sz w:val="28"/>
          <w:szCs w:val="28"/>
          <w:lang w:val="es-MX"/>
        </w:rPr>
        <w:t>):</w:t>
      </w:r>
      <w:r w:rsidR="00411B3C" w:rsidRPr="00A22604">
        <w:rPr>
          <w:rFonts w:ascii="Arial Narrow" w:hAnsi="Arial Narrow"/>
          <w:sz w:val="28"/>
          <w:szCs w:val="28"/>
          <w:lang w:val="es-MX"/>
        </w:rPr>
        <w:t xml:space="preserve"> Cali (+7 kg), Ibagué (+7 kg), Manizales (+16 kg</w:t>
      </w:r>
      <w:r w:rsidR="00252153" w:rsidRPr="00A22604">
        <w:rPr>
          <w:rFonts w:ascii="Arial Narrow" w:hAnsi="Arial Narrow"/>
          <w:sz w:val="28"/>
          <w:szCs w:val="28"/>
          <w:lang w:val="es-MX"/>
        </w:rPr>
        <w:t>),</w:t>
      </w:r>
      <w:r w:rsidR="00411B3C" w:rsidRPr="00A22604">
        <w:rPr>
          <w:rFonts w:ascii="Arial Narrow" w:hAnsi="Arial Narrow"/>
          <w:sz w:val="28"/>
          <w:szCs w:val="28"/>
          <w:lang w:val="es-MX"/>
        </w:rPr>
        <w:t xml:space="preserve"> Medellín (+6 kg) y Pereira (+5 kg). Sin embargo, en la presentación del estudio de mayo del 2019, con la </w:t>
      </w:r>
      <w:r w:rsidR="00AE5814" w:rsidRPr="00A22604">
        <w:rPr>
          <w:rFonts w:ascii="Arial Narrow" w:hAnsi="Arial Narrow"/>
          <w:i/>
          <w:sz w:val="28"/>
          <w:szCs w:val="28"/>
          <w:lang w:val="es-MX"/>
        </w:rPr>
        <w:t>segunda</w:t>
      </w:r>
      <w:r w:rsidR="00411B3C" w:rsidRPr="00A22604">
        <w:rPr>
          <w:rFonts w:ascii="Arial Narrow" w:hAnsi="Arial Narrow"/>
          <w:i/>
          <w:sz w:val="28"/>
          <w:szCs w:val="28"/>
          <w:lang w:val="es-MX"/>
        </w:rPr>
        <w:t xml:space="preserve"> metodología </w:t>
      </w:r>
      <w:r w:rsidR="00411B3C" w:rsidRPr="00A22604">
        <w:rPr>
          <w:rFonts w:ascii="Arial Narrow" w:hAnsi="Arial Narrow"/>
          <w:sz w:val="28"/>
          <w:szCs w:val="28"/>
          <w:lang w:val="es-MX"/>
        </w:rPr>
        <w:t>de Nielsen, estas ciudades muestran una tendencia con signo diferente (2018 vs 2017): Cali (-3,9 kg), Ibagué (-10,8 kg), Manizales (-</w:t>
      </w:r>
      <w:r w:rsidR="009A65D4" w:rsidRPr="00A22604">
        <w:rPr>
          <w:rFonts w:ascii="Arial Narrow" w:hAnsi="Arial Narrow"/>
          <w:sz w:val="28"/>
          <w:szCs w:val="28"/>
          <w:lang w:val="es-MX"/>
        </w:rPr>
        <w:t>1</w:t>
      </w:r>
      <w:r w:rsidR="00411B3C" w:rsidRPr="00A22604">
        <w:rPr>
          <w:rFonts w:ascii="Arial Narrow" w:hAnsi="Arial Narrow"/>
          <w:sz w:val="28"/>
          <w:szCs w:val="28"/>
          <w:lang w:val="es-MX"/>
        </w:rPr>
        <w:t xml:space="preserve">,1 kg), Medellín (-2-2 kg), Pereira </w:t>
      </w:r>
      <w:proofErr w:type="gramStart"/>
      <w:r w:rsidR="00411B3C" w:rsidRPr="00A22604">
        <w:rPr>
          <w:rFonts w:ascii="Arial Narrow" w:hAnsi="Arial Narrow"/>
          <w:sz w:val="28"/>
          <w:szCs w:val="28"/>
          <w:lang w:val="es-MX"/>
        </w:rPr>
        <w:t>( -</w:t>
      </w:r>
      <w:proofErr w:type="gramEnd"/>
      <w:r w:rsidR="00411B3C" w:rsidRPr="00A22604">
        <w:rPr>
          <w:rFonts w:ascii="Arial Narrow" w:hAnsi="Arial Narrow"/>
          <w:sz w:val="28"/>
          <w:szCs w:val="28"/>
          <w:lang w:val="es-MX"/>
        </w:rPr>
        <w:t xml:space="preserve">6,7 kg). </w:t>
      </w:r>
      <w:r w:rsidR="00B72703" w:rsidRPr="00A22604">
        <w:rPr>
          <w:rFonts w:ascii="Arial Narrow" w:hAnsi="Arial Narrow"/>
          <w:sz w:val="28"/>
          <w:szCs w:val="28"/>
          <w:lang w:val="es-MX"/>
        </w:rPr>
        <w:t>¿</w:t>
      </w:r>
      <w:r w:rsidR="007E4CE5" w:rsidRPr="00A22604">
        <w:rPr>
          <w:rFonts w:ascii="Arial Narrow" w:hAnsi="Arial Narrow"/>
          <w:sz w:val="28"/>
          <w:szCs w:val="28"/>
          <w:lang w:val="es-MX"/>
        </w:rPr>
        <w:t>Cómo</w:t>
      </w:r>
      <w:r w:rsidR="00BA226B" w:rsidRPr="00A22604">
        <w:rPr>
          <w:rFonts w:ascii="Arial Narrow" w:hAnsi="Arial Narrow"/>
          <w:sz w:val="28"/>
          <w:szCs w:val="28"/>
          <w:lang w:val="es-MX"/>
        </w:rPr>
        <w:t xml:space="preserve"> se explica el cambio de</w:t>
      </w:r>
      <w:r w:rsidR="00754967" w:rsidRPr="00A22604">
        <w:rPr>
          <w:rFonts w:ascii="Arial Narrow" w:hAnsi="Arial Narrow"/>
          <w:sz w:val="28"/>
          <w:szCs w:val="28"/>
          <w:lang w:val="es-MX"/>
        </w:rPr>
        <w:t xml:space="preserve"> tendencia</w:t>
      </w:r>
      <w:r w:rsidR="00BA226B" w:rsidRPr="00A22604">
        <w:rPr>
          <w:rFonts w:ascii="Arial Narrow" w:hAnsi="Arial Narrow"/>
          <w:sz w:val="28"/>
          <w:szCs w:val="28"/>
          <w:lang w:val="es-MX"/>
        </w:rPr>
        <w:t xml:space="preserve"> de una medición a otra</w:t>
      </w:r>
      <w:r w:rsidR="00754967" w:rsidRPr="00A22604">
        <w:rPr>
          <w:rFonts w:ascii="Arial Narrow" w:hAnsi="Arial Narrow"/>
          <w:sz w:val="28"/>
          <w:szCs w:val="28"/>
          <w:lang w:val="es-MX"/>
        </w:rPr>
        <w:t xml:space="preserve"> </w:t>
      </w:r>
      <w:r w:rsidR="00BA226B" w:rsidRPr="00A22604">
        <w:rPr>
          <w:rFonts w:ascii="Arial Narrow" w:hAnsi="Arial Narrow"/>
          <w:sz w:val="28"/>
          <w:szCs w:val="28"/>
          <w:lang w:val="es-MX"/>
        </w:rPr>
        <w:t xml:space="preserve">en </w:t>
      </w:r>
      <w:r w:rsidR="00411B3C" w:rsidRPr="00A22604">
        <w:rPr>
          <w:rFonts w:ascii="Arial Narrow" w:hAnsi="Arial Narrow"/>
          <w:sz w:val="28"/>
          <w:szCs w:val="28"/>
          <w:lang w:val="es-MX"/>
        </w:rPr>
        <w:t>la</w:t>
      </w:r>
      <w:r w:rsidR="00BA226B" w:rsidRPr="00A22604">
        <w:rPr>
          <w:rFonts w:ascii="Arial Narrow" w:hAnsi="Arial Narrow"/>
          <w:sz w:val="28"/>
          <w:szCs w:val="28"/>
          <w:lang w:val="es-MX"/>
        </w:rPr>
        <w:t xml:space="preserve"> variación por ciudad</w:t>
      </w:r>
      <w:r w:rsidR="007E4CE5" w:rsidRPr="00A22604">
        <w:rPr>
          <w:rFonts w:ascii="Arial Narrow" w:hAnsi="Arial Narrow"/>
          <w:sz w:val="28"/>
          <w:szCs w:val="28"/>
          <w:lang w:val="es-MX"/>
        </w:rPr>
        <w:t>?</w:t>
      </w:r>
    </w:p>
    <w:p w:rsidR="00A22604" w:rsidRPr="00A22604" w:rsidRDefault="00A22604" w:rsidP="00A22604">
      <w:pPr>
        <w:pStyle w:val="Prrafodelista"/>
        <w:jc w:val="both"/>
        <w:rPr>
          <w:rFonts w:ascii="Arial Narrow" w:hAnsi="Arial Narrow"/>
          <w:sz w:val="28"/>
          <w:szCs w:val="28"/>
          <w:lang w:val="es-MX"/>
        </w:rPr>
      </w:pPr>
    </w:p>
    <w:p w:rsidR="00BA226B" w:rsidRPr="00A22604" w:rsidRDefault="009A1803" w:rsidP="00A22604">
      <w:pPr>
        <w:pStyle w:val="Prrafodelista"/>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Rta/: Los cambios se dan por los cambios en la metodología, enfocados en dos factores principales, en primer lugar al proyectar a un universo de hogares cada Hogar tiene una ponderación diferente al que tenía en la metodología sin proyectar (Ejemplo: Hogares con caídas en consumo ahora tienen una ponderación mayor); en segundo lugar, los controles de calidad modifican los valores de los hogares identificados como atípicos en algún periodo (Ejemplo hogares con consumos quincenales fuera de lo normal serán normalizados).</w:t>
      </w:r>
    </w:p>
    <w:p w:rsidR="00A22604" w:rsidRPr="00A22604" w:rsidRDefault="00A22604" w:rsidP="00A22604">
      <w:pPr>
        <w:pStyle w:val="Prrafodelista"/>
        <w:jc w:val="both"/>
        <w:rPr>
          <w:rFonts w:ascii="Arial Narrow" w:hAnsi="Arial Narrow"/>
          <w:color w:val="2E74B5" w:themeColor="accent5" w:themeShade="BF"/>
          <w:sz w:val="28"/>
          <w:szCs w:val="28"/>
          <w:lang w:val="es-MX"/>
        </w:rPr>
      </w:pPr>
    </w:p>
    <w:p w:rsidR="00252153" w:rsidRPr="00A22604" w:rsidRDefault="00B72703" w:rsidP="00411B3C">
      <w:pPr>
        <w:pStyle w:val="Prrafodelista"/>
        <w:numPr>
          <w:ilvl w:val="0"/>
          <w:numId w:val="5"/>
        </w:numPr>
        <w:jc w:val="both"/>
        <w:rPr>
          <w:rFonts w:ascii="Arial Narrow" w:hAnsi="Arial Narrow"/>
          <w:sz w:val="28"/>
          <w:szCs w:val="28"/>
          <w:lang w:val="es-MX"/>
        </w:rPr>
      </w:pPr>
      <w:r w:rsidRPr="00A22604">
        <w:rPr>
          <w:rFonts w:ascii="Arial Narrow" w:hAnsi="Arial Narrow"/>
          <w:sz w:val="28"/>
          <w:szCs w:val="28"/>
          <w:lang w:val="es-MX"/>
        </w:rPr>
        <w:t xml:space="preserve">Con los resultados del estudio de consumo de papa </w:t>
      </w:r>
      <w:r w:rsidR="00373ABE" w:rsidRPr="00A22604">
        <w:rPr>
          <w:rFonts w:ascii="Arial Narrow" w:hAnsi="Arial Narrow"/>
          <w:sz w:val="28"/>
          <w:szCs w:val="28"/>
          <w:lang w:val="es-MX"/>
        </w:rPr>
        <w:t>f</w:t>
      </w:r>
      <w:r w:rsidRPr="00A22604">
        <w:rPr>
          <w:rFonts w:ascii="Arial Narrow" w:hAnsi="Arial Narrow"/>
          <w:sz w:val="28"/>
          <w:szCs w:val="28"/>
          <w:lang w:val="es-MX"/>
        </w:rPr>
        <w:t xml:space="preserve">resca en los Hogares de los años 2017 y 2018 (primera metodología) el consumo per cápita de hogares ascendía de 41 kg en 2017 a 43 kg en el 2018, mientras que en el estudio realizado en mayo del 2019 el consumo por </w:t>
      </w:r>
      <w:r w:rsidR="00BA226B" w:rsidRPr="00A22604">
        <w:rPr>
          <w:rFonts w:ascii="Arial Narrow" w:hAnsi="Arial Narrow"/>
          <w:sz w:val="28"/>
          <w:szCs w:val="28"/>
          <w:lang w:val="es-MX"/>
        </w:rPr>
        <w:t>individuos</w:t>
      </w:r>
      <w:r w:rsidRPr="00A22604">
        <w:rPr>
          <w:rFonts w:ascii="Arial Narrow" w:hAnsi="Arial Narrow"/>
          <w:sz w:val="28"/>
          <w:szCs w:val="28"/>
          <w:lang w:val="es-MX"/>
        </w:rPr>
        <w:t xml:space="preserve"> consumidor</w:t>
      </w:r>
      <w:r w:rsidR="00BA226B" w:rsidRPr="00A22604">
        <w:rPr>
          <w:rFonts w:ascii="Arial Narrow" w:hAnsi="Arial Narrow"/>
          <w:sz w:val="28"/>
          <w:szCs w:val="28"/>
          <w:lang w:val="es-MX"/>
        </w:rPr>
        <w:t>es</w:t>
      </w:r>
      <w:r w:rsidRPr="00A22604">
        <w:rPr>
          <w:rFonts w:ascii="Arial Narrow" w:hAnsi="Arial Narrow"/>
          <w:sz w:val="28"/>
          <w:szCs w:val="28"/>
          <w:lang w:val="es-MX"/>
        </w:rPr>
        <w:t xml:space="preserve"> de papa descendió de 38 kg a 29,8 kg</w:t>
      </w:r>
      <w:r w:rsidR="008A703F" w:rsidRPr="00A22604">
        <w:rPr>
          <w:rFonts w:ascii="Arial Narrow" w:hAnsi="Arial Narrow"/>
          <w:sz w:val="28"/>
          <w:szCs w:val="28"/>
          <w:lang w:val="es-MX"/>
        </w:rPr>
        <w:t xml:space="preserve"> del 2017 al 2018 </w:t>
      </w:r>
      <w:r w:rsidR="008A703F" w:rsidRPr="00A22604">
        <w:rPr>
          <w:rFonts w:ascii="Arial Narrow" w:hAnsi="Arial Narrow"/>
          <w:i/>
          <w:sz w:val="28"/>
          <w:szCs w:val="28"/>
          <w:lang w:val="es-MX"/>
        </w:rPr>
        <w:t>(segunda metodología)</w:t>
      </w:r>
      <w:r w:rsidRPr="00A22604">
        <w:rPr>
          <w:rFonts w:ascii="Arial Narrow" w:hAnsi="Arial Narrow"/>
          <w:i/>
          <w:sz w:val="28"/>
          <w:szCs w:val="28"/>
          <w:lang w:val="es-MX"/>
        </w:rPr>
        <w:t>.</w:t>
      </w:r>
      <w:r w:rsidRPr="00A22604">
        <w:rPr>
          <w:rFonts w:ascii="Arial Narrow" w:hAnsi="Arial Narrow"/>
          <w:sz w:val="28"/>
          <w:szCs w:val="28"/>
          <w:lang w:val="es-MX"/>
        </w:rPr>
        <w:t xml:space="preserve"> Cómo </w:t>
      </w:r>
      <w:r w:rsidR="007E4CE5" w:rsidRPr="00A22604">
        <w:rPr>
          <w:rFonts w:ascii="Arial Narrow" w:hAnsi="Arial Narrow"/>
          <w:sz w:val="28"/>
          <w:szCs w:val="28"/>
          <w:lang w:val="es-MX"/>
        </w:rPr>
        <w:t>interpretar</w:t>
      </w:r>
      <w:r w:rsidRPr="00A22604">
        <w:rPr>
          <w:rFonts w:ascii="Arial Narrow" w:hAnsi="Arial Narrow"/>
          <w:sz w:val="28"/>
          <w:szCs w:val="28"/>
          <w:lang w:val="es-MX"/>
        </w:rPr>
        <w:t xml:space="preserve"> </w:t>
      </w:r>
      <w:r w:rsidR="007E4CE5" w:rsidRPr="00A22604">
        <w:rPr>
          <w:rFonts w:ascii="Arial Narrow" w:hAnsi="Arial Narrow"/>
          <w:sz w:val="28"/>
          <w:szCs w:val="28"/>
          <w:lang w:val="es-MX"/>
        </w:rPr>
        <w:t>los resultados de ambos</w:t>
      </w:r>
      <w:r w:rsidRPr="00A22604">
        <w:rPr>
          <w:rFonts w:ascii="Arial Narrow" w:hAnsi="Arial Narrow"/>
          <w:sz w:val="28"/>
          <w:szCs w:val="28"/>
          <w:lang w:val="es-MX"/>
        </w:rPr>
        <w:t xml:space="preserve"> estudios </w:t>
      </w:r>
      <w:r w:rsidR="007E4CE5" w:rsidRPr="00A22604">
        <w:rPr>
          <w:rFonts w:ascii="Arial Narrow" w:hAnsi="Arial Narrow"/>
          <w:sz w:val="28"/>
          <w:szCs w:val="28"/>
          <w:lang w:val="es-MX"/>
        </w:rPr>
        <w:t>con</w:t>
      </w:r>
      <w:r w:rsidRPr="00A22604">
        <w:rPr>
          <w:rFonts w:ascii="Arial Narrow" w:hAnsi="Arial Narrow"/>
          <w:sz w:val="28"/>
          <w:szCs w:val="28"/>
          <w:lang w:val="es-MX"/>
        </w:rPr>
        <w:t xml:space="preserve"> metodologías </w:t>
      </w:r>
      <w:r w:rsidR="007E4CE5" w:rsidRPr="00A22604">
        <w:rPr>
          <w:rFonts w:ascii="Arial Narrow" w:hAnsi="Arial Narrow"/>
          <w:sz w:val="28"/>
          <w:szCs w:val="28"/>
          <w:lang w:val="es-MX"/>
        </w:rPr>
        <w:t>diferentes,</w:t>
      </w:r>
      <w:r w:rsidRPr="00A22604">
        <w:rPr>
          <w:rFonts w:ascii="Arial Narrow" w:hAnsi="Arial Narrow"/>
          <w:sz w:val="28"/>
          <w:szCs w:val="28"/>
          <w:lang w:val="es-MX"/>
        </w:rPr>
        <w:t xml:space="preserve"> pero </w:t>
      </w:r>
      <w:r w:rsidR="007E4CE5" w:rsidRPr="00A22604">
        <w:rPr>
          <w:rFonts w:ascii="Arial Narrow" w:hAnsi="Arial Narrow"/>
          <w:sz w:val="28"/>
          <w:szCs w:val="28"/>
          <w:lang w:val="es-MX"/>
        </w:rPr>
        <w:t xml:space="preserve">en los que </w:t>
      </w:r>
      <w:r w:rsidR="008A703F" w:rsidRPr="00A22604">
        <w:rPr>
          <w:rFonts w:ascii="Arial Narrow" w:hAnsi="Arial Narrow"/>
          <w:sz w:val="28"/>
          <w:szCs w:val="28"/>
          <w:lang w:val="es-MX"/>
        </w:rPr>
        <w:t>uno muestra</w:t>
      </w:r>
      <w:r w:rsidRPr="00A22604">
        <w:rPr>
          <w:rFonts w:ascii="Arial Narrow" w:hAnsi="Arial Narrow"/>
          <w:sz w:val="28"/>
          <w:szCs w:val="28"/>
          <w:lang w:val="es-MX"/>
        </w:rPr>
        <w:t xml:space="preserve"> un aumento en el consumo </w:t>
      </w:r>
      <w:r w:rsidR="008E6158" w:rsidRPr="00A22604">
        <w:rPr>
          <w:rFonts w:ascii="Arial Narrow" w:hAnsi="Arial Narrow"/>
          <w:sz w:val="28"/>
          <w:szCs w:val="28"/>
          <w:lang w:val="es-MX"/>
        </w:rPr>
        <w:t xml:space="preserve">(2018 vs 2017) </w:t>
      </w:r>
      <w:r w:rsidRPr="00A22604">
        <w:rPr>
          <w:rFonts w:ascii="Arial Narrow" w:hAnsi="Arial Narrow"/>
          <w:sz w:val="28"/>
          <w:szCs w:val="28"/>
          <w:lang w:val="es-MX"/>
        </w:rPr>
        <w:t xml:space="preserve">y </w:t>
      </w:r>
      <w:r w:rsidR="008E6158" w:rsidRPr="00A22604">
        <w:rPr>
          <w:rFonts w:ascii="Arial Narrow" w:hAnsi="Arial Narrow"/>
          <w:sz w:val="28"/>
          <w:szCs w:val="28"/>
          <w:lang w:val="es-MX"/>
        </w:rPr>
        <w:t xml:space="preserve">el otro </w:t>
      </w:r>
      <w:r w:rsidR="008A703F" w:rsidRPr="00A22604">
        <w:rPr>
          <w:rFonts w:ascii="Arial Narrow" w:hAnsi="Arial Narrow"/>
          <w:sz w:val="28"/>
          <w:szCs w:val="28"/>
          <w:lang w:val="es-MX"/>
        </w:rPr>
        <w:t xml:space="preserve">en el año 2019 </w:t>
      </w:r>
      <w:r w:rsidRPr="00A22604">
        <w:rPr>
          <w:rFonts w:ascii="Arial Narrow" w:hAnsi="Arial Narrow"/>
          <w:sz w:val="28"/>
          <w:szCs w:val="28"/>
          <w:lang w:val="es-MX"/>
        </w:rPr>
        <w:t>muestra una reducción en el consumo</w:t>
      </w:r>
      <w:r w:rsidR="008A703F" w:rsidRPr="00A22604">
        <w:rPr>
          <w:rFonts w:ascii="Arial Narrow" w:hAnsi="Arial Narrow"/>
          <w:sz w:val="28"/>
          <w:szCs w:val="28"/>
          <w:lang w:val="es-MX"/>
        </w:rPr>
        <w:t xml:space="preserve"> </w:t>
      </w:r>
      <w:r w:rsidR="008E6158" w:rsidRPr="00A22604">
        <w:rPr>
          <w:rFonts w:ascii="Arial Narrow" w:hAnsi="Arial Narrow"/>
          <w:sz w:val="28"/>
          <w:szCs w:val="28"/>
          <w:lang w:val="es-MX"/>
        </w:rPr>
        <w:t>(2018 vs 2017).</w:t>
      </w:r>
    </w:p>
    <w:p w:rsidR="00A22604" w:rsidRPr="00A22604" w:rsidRDefault="00A22604" w:rsidP="008D646E">
      <w:pPr>
        <w:pStyle w:val="Prrafodelista"/>
        <w:jc w:val="both"/>
        <w:rPr>
          <w:rFonts w:ascii="Arial Narrow" w:hAnsi="Arial Narrow"/>
          <w:b/>
          <w:color w:val="2E74B5" w:themeColor="accent5" w:themeShade="BF"/>
          <w:sz w:val="28"/>
          <w:szCs w:val="28"/>
          <w:lang w:val="es-MX"/>
        </w:rPr>
      </w:pPr>
    </w:p>
    <w:p w:rsidR="00A46171" w:rsidRPr="00A22604" w:rsidRDefault="009A1803" w:rsidP="008D646E">
      <w:pPr>
        <w:pStyle w:val="Prrafodelista"/>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 xml:space="preserve">Rta/: Tal como se menciona en el punto anterior, y considerando que ambas metodologías tienen un alcance y definición diferente asociadas a un nivel de precisión o error estándar, para 2017 el efecto de ponderación y controles de calidad generan solo una caída de 3 Kg mientras que en 2018 es de </w:t>
      </w:r>
      <w:r w:rsidR="008D646E" w:rsidRPr="00A22604">
        <w:rPr>
          <w:rFonts w:ascii="Arial Narrow" w:hAnsi="Arial Narrow"/>
          <w:color w:val="2E74B5" w:themeColor="accent5" w:themeShade="BF"/>
          <w:sz w:val="28"/>
          <w:szCs w:val="28"/>
          <w:lang w:val="es-MX"/>
        </w:rPr>
        <w:t>13 Kg, lo cual implica que los hogares con mayor nivel de ponderación muestran fuertes contracciones en el consumo, así como la incidencia de atípicos es mayor en 2018 que en 2017.</w:t>
      </w:r>
    </w:p>
    <w:p w:rsidR="00A46171" w:rsidRPr="00A22604" w:rsidRDefault="00A46171" w:rsidP="00A46171">
      <w:pPr>
        <w:pStyle w:val="Prrafodelista"/>
        <w:jc w:val="both"/>
        <w:rPr>
          <w:rFonts w:ascii="Arial Narrow" w:hAnsi="Arial Narrow"/>
          <w:sz w:val="28"/>
          <w:szCs w:val="28"/>
          <w:lang w:val="es-MX"/>
        </w:rPr>
      </w:pPr>
    </w:p>
    <w:p w:rsidR="008D646E" w:rsidRPr="00A22604" w:rsidRDefault="00373ABE" w:rsidP="008D646E">
      <w:pPr>
        <w:pStyle w:val="Prrafodelista"/>
        <w:numPr>
          <w:ilvl w:val="0"/>
          <w:numId w:val="5"/>
        </w:numPr>
        <w:jc w:val="both"/>
        <w:rPr>
          <w:rFonts w:ascii="Arial Narrow" w:hAnsi="Arial Narrow"/>
          <w:sz w:val="28"/>
          <w:szCs w:val="28"/>
          <w:lang w:val="es-MX"/>
        </w:rPr>
      </w:pPr>
      <w:r w:rsidRPr="00A22604">
        <w:rPr>
          <w:rFonts w:ascii="Arial Narrow" w:hAnsi="Arial Narrow"/>
          <w:sz w:val="28"/>
          <w:szCs w:val="28"/>
          <w:lang w:val="es-MX"/>
        </w:rPr>
        <w:t xml:space="preserve">En la última medición de mayo 2019, los resultados arrojaron un porcentaje de reconocimiento publicitario del 37%, es decir, una disminución del 6% </w:t>
      </w:r>
      <w:r w:rsidRPr="00A22604">
        <w:rPr>
          <w:rFonts w:ascii="Arial Narrow" w:hAnsi="Arial Narrow"/>
          <w:sz w:val="28"/>
          <w:szCs w:val="28"/>
          <w:lang w:val="es-MX"/>
        </w:rPr>
        <w:lastRenderedPageBreak/>
        <w:t>comparado con</w:t>
      </w:r>
      <w:r w:rsidR="00AE5814" w:rsidRPr="00A22604">
        <w:rPr>
          <w:rFonts w:ascii="Arial Narrow" w:hAnsi="Arial Narrow"/>
          <w:sz w:val="28"/>
          <w:szCs w:val="28"/>
          <w:lang w:val="es-MX"/>
        </w:rPr>
        <w:t xml:space="preserve"> el consolidado </w:t>
      </w:r>
      <w:r w:rsidRPr="00A22604">
        <w:rPr>
          <w:rFonts w:ascii="Arial Narrow" w:hAnsi="Arial Narrow"/>
          <w:sz w:val="28"/>
          <w:szCs w:val="28"/>
          <w:lang w:val="es-MX"/>
        </w:rPr>
        <w:t>2018, que fue del 43%</w:t>
      </w:r>
      <w:r w:rsidR="00A46171" w:rsidRPr="00A22604">
        <w:rPr>
          <w:rFonts w:ascii="Arial Narrow" w:hAnsi="Arial Narrow"/>
          <w:sz w:val="28"/>
          <w:szCs w:val="28"/>
          <w:lang w:val="es-MX"/>
        </w:rPr>
        <w:t>. Además,</w:t>
      </w:r>
      <w:r w:rsidRPr="00A22604">
        <w:rPr>
          <w:rFonts w:ascii="Arial Narrow" w:hAnsi="Arial Narrow"/>
          <w:sz w:val="28"/>
          <w:szCs w:val="28"/>
          <w:lang w:val="es-MX"/>
        </w:rPr>
        <w:t xml:space="preserve"> con una reducción del 2% en la cantidad de individuos que recuerda haber visto publicidad en televisión. </w:t>
      </w:r>
      <w:r w:rsidR="00A46171" w:rsidRPr="00A22604">
        <w:rPr>
          <w:rFonts w:ascii="Arial Narrow" w:hAnsi="Arial Narrow"/>
          <w:sz w:val="28"/>
          <w:szCs w:val="28"/>
          <w:lang w:val="es-MX"/>
        </w:rPr>
        <w:t>¿Qué factores podrían explicar estos resultados?</w:t>
      </w:r>
    </w:p>
    <w:p w:rsidR="00A22604" w:rsidRPr="00A22604" w:rsidRDefault="00A22604" w:rsidP="008D646E">
      <w:pPr>
        <w:pStyle w:val="Prrafodelista"/>
        <w:numPr>
          <w:ilvl w:val="0"/>
          <w:numId w:val="5"/>
        </w:numPr>
        <w:jc w:val="both"/>
        <w:rPr>
          <w:rFonts w:ascii="Arial Narrow" w:hAnsi="Arial Narrow"/>
          <w:sz w:val="28"/>
          <w:szCs w:val="28"/>
          <w:lang w:val="es-MX"/>
        </w:rPr>
      </w:pPr>
    </w:p>
    <w:p w:rsidR="008D646E" w:rsidRPr="00A22604" w:rsidRDefault="008D646E" w:rsidP="008D646E">
      <w:pPr>
        <w:pStyle w:val="Prrafodelista"/>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Rta/:</w:t>
      </w:r>
      <w:r w:rsidR="00EB70DD" w:rsidRPr="00A22604">
        <w:rPr>
          <w:rFonts w:ascii="Arial Narrow" w:hAnsi="Arial Narrow"/>
          <w:color w:val="2E74B5" w:themeColor="accent5" w:themeShade="BF"/>
          <w:sz w:val="28"/>
          <w:szCs w:val="28"/>
          <w:lang w:val="es-MX"/>
        </w:rPr>
        <w:t xml:space="preserve"> Se revisó la información y esta caída se observa que en la muestra hay una caída en la misma proporción, donde dichos hogares no identificaron publicidad en este levantamiento, no se encontraron atipicidades. Es importante considerar que esta variable mide el nivel de recordación de dichas actividades y es declarada por los hogares. Para entender mejor cuales pueden ser las causas de dicha contracción vale la pena contrastar con las diferentes actividades publicitarias que se han ejecutado, población objetivo (ciudades, medios, etc.), intensidad de la misma, cambios en dichas actividades, etc.</w:t>
      </w:r>
    </w:p>
    <w:p w:rsidR="00A46171" w:rsidRPr="00A22604" w:rsidRDefault="00A46171" w:rsidP="00A22604">
      <w:pPr>
        <w:pStyle w:val="Prrafodelista"/>
        <w:jc w:val="both"/>
        <w:rPr>
          <w:rFonts w:ascii="Arial Narrow" w:hAnsi="Arial Narrow"/>
          <w:color w:val="2E74B5" w:themeColor="accent5" w:themeShade="BF"/>
          <w:sz w:val="28"/>
          <w:szCs w:val="28"/>
          <w:lang w:val="es-MX"/>
        </w:rPr>
      </w:pPr>
    </w:p>
    <w:p w:rsidR="00A46171" w:rsidRPr="00A22604" w:rsidRDefault="00A46171" w:rsidP="00A46171">
      <w:pPr>
        <w:pStyle w:val="Prrafodelista"/>
        <w:numPr>
          <w:ilvl w:val="0"/>
          <w:numId w:val="3"/>
        </w:numPr>
        <w:jc w:val="both"/>
        <w:rPr>
          <w:rFonts w:ascii="Arial Narrow" w:hAnsi="Arial Narrow"/>
          <w:sz w:val="28"/>
          <w:szCs w:val="28"/>
          <w:lang w:val="es-MX"/>
        </w:rPr>
      </w:pPr>
      <w:r w:rsidRPr="00A22604">
        <w:rPr>
          <w:rFonts w:ascii="Arial Narrow" w:hAnsi="Arial Narrow"/>
          <w:sz w:val="28"/>
          <w:szCs w:val="28"/>
          <w:lang w:val="es-MX"/>
        </w:rPr>
        <w:t xml:space="preserve">En el estudio de mayo 2019 </w:t>
      </w:r>
      <w:r w:rsidRPr="00A22604">
        <w:rPr>
          <w:rFonts w:ascii="Arial Narrow" w:hAnsi="Arial Narrow"/>
          <w:i/>
          <w:sz w:val="28"/>
          <w:szCs w:val="28"/>
          <w:lang w:val="es-MX"/>
        </w:rPr>
        <w:t>(segunda metodología)</w:t>
      </w:r>
      <w:r w:rsidRPr="00A22604">
        <w:rPr>
          <w:rFonts w:ascii="Arial Narrow" w:hAnsi="Arial Narrow"/>
          <w:sz w:val="28"/>
          <w:szCs w:val="28"/>
          <w:lang w:val="es-MX"/>
        </w:rPr>
        <w:t xml:space="preserve"> se puede observar una pérdida generalizada de la penetración </w:t>
      </w:r>
      <w:r w:rsidR="00DE2A85" w:rsidRPr="00A22604">
        <w:rPr>
          <w:rFonts w:ascii="Arial Narrow" w:hAnsi="Arial Narrow"/>
          <w:sz w:val="28"/>
          <w:szCs w:val="28"/>
          <w:lang w:val="es-MX"/>
        </w:rPr>
        <w:t xml:space="preserve">(cantidad de consumidores) </w:t>
      </w:r>
      <w:r w:rsidRPr="00A22604">
        <w:rPr>
          <w:rFonts w:ascii="Arial Narrow" w:hAnsi="Arial Narrow"/>
          <w:sz w:val="28"/>
          <w:szCs w:val="28"/>
          <w:lang w:val="es-MX"/>
        </w:rPr>
        <w:t>en los hogares del año 2018 al 2019, pero una mejora en el consumo de los hogares analizados. Por su parte, la penetración del año 2017 al 2018 creció para la mayoría de las ciudades (y</w:t>
      </w:r>
      <w:r w:rsidR="00DE2A85" w:rsidRPr="00A22604">
        <w:rPr>
          <w:rFonts w:ascii="Arial Narrow" w:hAnsi="Arial Narrow"/>
          <w:sz w:val="28"/>
          <w:szCs w:val="28"/>
          <w:lang w:val="es-MX"/>
        </w:rPr>
        <w:t xml:space="preserve"> todos los</w:t>
      </w:r>
      <w:r w:rsidRPr="00A22604">
        <w:rPr>
          <w:rFonts w:ascii="Arial Narrow" w:hAnsi="Arial Narrow"/>
          <w:sz w:val="28"/>
          <w:szCs w:val="28"/>
          <w:lang w:val="es-MX"/>
        </w:rPr>
        <w:t xml:space="preserve"> niveles demográficos) pero el consumo de los hogares disminuyó. ¿</w:t>
      </w:r>
      <w:r w:rsidR="00DC2E74" w:rsidRPr="00A22604">
        <w:rPr>
          <w:rFonts w:ascii="Arial Narrow" w:hAnsi="Arial Narrow"/>
          <w:sz w:val="28"/>
          <w:szCs w:val="28"/>
          <w:lang w:val="es-MX"/>
        </w:rPr>
        <w:t>Qué podría explicar</w:t>
      </w:r>
      <w:r w:rsidRPr="00A22604">
        <w:rPr>
          <w:rFonts w:ascii="Arial Narrow" w:hAnsi="Arial Narrow"/>
          <w:sz w:val="28"/>
          <w:szCs w:val="28"/>
          <w:lang w:val="es-MX"/>
        </w:rPr>
        <w:t xml:space="preserve"> estas tendencias de aumento de la penetración y al mismo tiempo menor consumo y viceversa?</w:t>
      </w:r>
    </w:p>
    <w:p w:rsidR="00A22604" w:rsidRPr="00A22604" w:rsidRDefault="00A22604" w:rsidP="00A22604">
      <w:pPr>
        <w:pStyle w:val="Prrafodelista"/>
        <w:ind w:left="1080"/>
        <w:jc w:val="both"/>
        <w:rPr>
          <w:rFonts w:ascii="Arial Narrow" w:hAnsi="Arial Narrow"/>
          <w:sz w:val="28"/>
          <w:szCs w:val="28"/>
          <w:lang w:val="es-MX"/>
        </w:rPr>
      </w:pPr>
    </w:p>
    <w:p w:rsidR="002767AA" w:rsidRPr="00A22604" w:rsidRDefault="008D646E" w:rsidP="002767AA">
      <w:pPr>
        <w:pStyle w:val="Prrafodelista"/>
        <w:ind w:left="1080"/>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Rta/: Este tipo de fenómenos puede presentarse con cierta frecuencia en diferentes categorías de consumo masivo, en donde existen hogares clasificados como heavy consumers, los cuales de acuerdo a su importancia afectan la tendencia, mientras que hogares menos importantes en consumo son los que normalmente mueven la  penetración (Ejemplo Hogares que empiezan a consumir pero niveles muy bajos que no compensan perdidas en heavy consumers).</w:t>
      </w:r>
    </w:p>
    <w:p w:rsidR="00D57166" w:rsidRPr="00A22604" w:rsidRDefault="00D57166" w:rsidP="002767AA">
      <w:pPr>
        <w:pStyle w:val="Prrafodelista"/>
        <w:ind w:left="1080"/>
        <w:jc w:val="both"/>
        <w:rPr>
          <w:rFonts w:ascii="Arial Narrow" w:hAnsi="Arial Narrow"/>
          <w:b/>
          <w:color w:val="2E74B5" w:themeColor="accent5" w:themeShade="BF"/>
          <w:sz w:val="28"/>
          <w:szCs w:val="28"/>
          <w:lang w:val="es-MX"/>
        </w:rPr>
      </w:pPr>
    </w:p>
    <w:p w:rsidR="00252153" w:rsidRPr="00A22604" w:rsidRDefault="002767AA" w:rsidP="002767AA">
      <w:pPr>
        <w:pStyle w:val="Prrafodelista"/>
        <w:numPr>
          <w:ilvl w:val="0"/>
          <w:numId w:val="3"/>
        </w:numPr>
        <w:jc w:val="both"/>
        <w:rPr>
          <w:rFonts w:ascii="Arial Narrow" w:hAnsi="Arial Narrow"/>
          <w:sz w:val="28"/>
          <w:szCs w:val="28"/>
          <w:lang w:val="es-MX"/>
        </w:rPr>
      </w:pPr>
      <w:r w:rsidRPr="00A22604">
        <w:rPr>
          <w:rFonts w:ascii="Arial Narrow" w:hAnsi="Arial Narrow"/>
          <w:sz w:val="28"/>
          <w:szCs w:val="28"/>
          <w:lang w:val="es-MX"/>
        </w:rPr>
        <w:t xml:space="preserve">Para los estudios desarrollados desde mayo del 2019, el consumo </w:t>
      </w:r>
      <w:r w:rsidR="00FE2BB0" w:rsidRPr="00A22604">
        <w:rPr>
          <w:rFonts w:ascii="Arial Narrow" w:hAnsi="Arial Narrow"/>
          <w:sz w:val="28"/>
          <w:szCs w:val="28"/>
          <w:lang w:val="es-MX"/>
        </w:rPr>
        <w:t>por persona</w:t>
      </w:r>
      <w:r w:rsidRPr="00A22604">
        <w:rPr>
          <w:rFonts w:ascii="Arial Narrow" w:hAnsi="Arial Narrow"/>
          <w:sz w:val="28"/>
          <w:szCs w:val="28"/>
          <w:lang w:val="es-MX"/>
        </w:rPr>
        <w:t xml:space="preserve"> de los hogares colombianos consumidores de papa es de 34,8 kg</w:t>
      </w:r>
      <w:r w:rsidR="00FE2BB0" w:rsidRPr="00A22604">
        <w:rPr>
          <w:rFonts w:ascii="Arial Narrow" w:hAnsi="Arial Narrow"/>
          <w:sz w:val="28"/>
          <w:szCs w:val="28"/>
          <w:lang w:val="es-MX"/>
        </w:rPr>
        <w:t xml:space="preserve">, en el 2018 fue de 29,8 kg y en el 2017 fue de 38 kg de acuerdo con la </w:t>
      </w:r>
      <w:r w:rsidR="00FE2BB0" w:rsidRPr="00A22604">
        <w:rPr>
          <w:rFonts w:ascii="Arial Narrow" w:hAnsi="Arial Narrow"/>
          <w:i/>
          <w:sz w:val="28"/>
          <w:szCs w:val="28"/>
          <w:lang w:val="es-MX"/>
        </w:rPr>
        <w:t>segunda metodología</w:t>
      </w:r>
      <w:r w:rsidRPr="00A22604">
        <w:rPr>
          <w:rFonts w:ascii="Arial Narrow" w:hAnsi="Arial Narrow"/>
          <w:sz w:val="28"/>
          <w:szCs w:val="28"/>
          <w:lang w:val="es-MX"/>
        </w:rPr>
        <w:t xml:space="preserve">. </w:t>
      </w:r>
      <w:r w:rsidR="00FE2BB0" w:rsidRPr="00A22604">
        <w:rPr>
          <w:rFonts w:ascii="Arial Narrow" w:hAnsi="Arial Narrow"/>
          <w:sz w:val="28"/>
          <w:szCs w:val="28"/>
          <w:lang w:val="es-MX"/>
        </w:rPr>
        <w:t>¿Para cuántas personas y hogares colombianos se pueden extrapolar estas cantidades para cada año según Nielsen?</w:t>
      </w:r>
    </w:p>
    <w:p w:rsidR="00A22604" w:rsidRPr="00A22604" w:rsidRDefault="00A22604" w:rsidP="00A22604">
      <w:pPr>
        <w:pStyle w:val="Prrafodelista"/>
        <w:ind w:left="1080"/>
        <w:jc w:val="both"/>
        <w:rPr>
          <w:rFonts w:ascii="Arial Narrow" w:hAnsi="Arial Narrow"/>
          <w:sz w:val="28"/>
          <w:szCs w:val="28"/>
          <w:lang w:val="es-MX"/>
        </w:rPr>
      </w:pPr>
    </w:p>
    <w:p w:rsidR="002767AA" w:rsidRPr="00A22604" w:rsidRDefault="008D646E" w:rsidP="00A22604">
      <w:pPr>
        <w:pStyle w:val="Prrafodelista"/>
        <w:ind w:left="1080"/>
        <w:jc w:val="both"/>
        <w:rPr>
          <w:rFonts w:ascii="Arial Narrow" w:hAnsi="Arial Narrow"/>
          <w:color w:val="2E74B5" w:themeColor="accent5" w:themeShade="BF"/>
          <w:sz w:val="28"/>
          <w:szCs w:val="28"/>
          <w:lang w:val="es-MX"/>
        </w:rPr>
      </w:pPr>
      <w:r w:rsidRPr="00A22604">
        <w:rPr>
          <w:rFonts w:ascii="Arial Narrow" w:hAnsi="Arial Narrow"/>
          <w:color w:val="2E74B5" w:themeColor="accent5" w:themeShade="BF"/>
          <w:sz w:val="28"/>
          <w:szCs w:val="28"/>
          <w:lang w:val="es-MX"/>
        </w:rPr>
        <w:t xml:space="preserve">Rta/: Nielsen NO recomienda esta extrapolación, pues no se puede asumir que los hogares del resto de ciudades tienen los mismos </w:t>
      </w:r>
      <w:r w:rsidR="00A22604" w:rsidRPr="00A22604">
        <w:rPr>
          <w:rFonts w:ascii="Arial Narrow" w:hAnsi="Arial Narrow"/>
          <w:color w:val="2E74B5" w:themeColor="accent5" w:themeShade="BF"/>
          <w:sz w:val="28"/>
          <w:szCs w:val="28"/>
          <w:lang w:val="es-MX"/>
        </w:rPr>
        <w:t>hábitos</w:t>
      </w:r>
      <w:r w:rsidRPr="00A22604">
        <w:rPr>
          <w:rFonts w:ascii="Arial Narrow" w:hAnsi="Arial Narrow"/>
          <w:color w:val="2E74B5" w:themeColor="accent5" w:themeShade="BF"/>
          <w:sz w:val="28"/>
          <w:szCs w:val="28"/>
          <w:lang w:val="es-MX"/>
        </w:rPr>
        <w:t xml:space="preserve"> </w:t>
      </w:r>
      <w:r w:rsidRPr="00A22604">
        <w:rPr>
          <w:rFonts w:ascii="Arial Narrow" w:hAnsi="Arial Narrow"/>
          <w:color w:val="2E74B5" w:themeColor="accent5" w:themeShade="BF"/>
          <w:sz w:val="28"/>
          <w:szCs w:val="28"/>
          <w:lang w:val="es-MX"/>
        </w:rPr>
        <w:lastRenderedPageBreak/>
        <w:t xml:space="preserve">de consumo que los hogares de ciudades cubiertas. En general, sabemos que en dichas ciudades los </w:t>
      </w:r>
      <w:r w:rsidR="00A22604" w:rsidRPr="00A22604">
        <w:rPr>
          <w:rFonts w:ascii="Arial Narrow" w:hAnsi="Arial Narrow"/>
          <w:color w:val="2E74B5" w:themeColor="accent5" w:themeShade="BF"/>
          <w:sz w:val="28"/>
          <w:szCs w:val="28"/>
          <w:lang w:val="es-MX"/>
        </w:rPr>
        <w:t>hábitos</w:t>
      </w:r>
      <w:r w:rsidRPr="00A22604">
        <w:rPr>
          <w:rFonts w:ascii="Arial Narrow" w:hAnsi="Arial Narrow"/>
          <w:color w:val="2E74B5" w:themeColor="accent5" w:themeShade="BF"/>
          <w:sz w:val="28"/>
          <w:szCs w:val="28"/>
          <w:lang w:val="es-MX"/>
        </w:rPr>
        <w:t>, definidos como Intensidad de compra, frecuencia de compra difieren.</w:t>
      </w:r>
    </w:p>
    <w:sectPr w:rsidR="002767AA" w:rsidRPr="00A226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7004"/>
    <w:multiLevelType w:val="hybridMultilevel"/>
    <w:tmpl w:val="1CBCE014"/>
    <w:lvl w:ilvl="0" w:tplc="30524470">
      <w:start w:val="1"/>
      <w:numFmt w:val="decimal"/>
      <w:lvlText w:val="%1."/>
      <w:lvlJc w:val="left"/>
      <w:pPr>
        <w:ind w:left="108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275C2F58"/>
    <w:multiLevelType w:val="multilevel"/>
    <w:tmpl w:val="5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654DB4"/>
    <w:multiLevelType w:val="hybridMultilevel"/>
    <w:tmpl w:val="6012EA0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AFB1167"/>
    <w:multiLevelType w:val="hybridMultilevel"/>
    <w:tmpl w:val="79B6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D0594"/>
    <w:multiLevelType w:val="hybridMultilevel"/>
    <w:tmpl w:val="4856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77924"/>
    <w:multiLevelType w:val="hybridMultilevel"/>
    <w:tmpl w:val="E684D712"/>
    <w:lvl w:ilvl="0" w:tplc="30524470">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6" w15:restartNumberingAfterBreak="0">
    <w:nsid w:val="669E0FDE"/>
    <w:multiLevelType w:val="hybridMultilevel"/>
    <w:tmpl w:val="FA6EDBC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B7"/>
    <w:rsid w:val="00024659"/>
    <w:rsid w:val="00063D4B"/>
    <w:rsid w:val="000C36EB"/>
    <w:rsid w:val="000D7D23"/>
    <w:rsid w:val="0015363C"/>
    <w:rsid w:val="001C0E66"/>
    <w:rsid w:val="00207CE4"/>
    <w:rsid w:val="00252153"/>
    <w:rsid w:val="002767AA"/>
    <w:rsid w:val="00325591"/>
    <w:rsid w:val="00365F2C"/>
    <w:rsid w:val="00373ABE"/>
    <w:rsid w:val="00411B3C"/>
    <w:rsid w:val="00455AFD"/>
    <w:rsid w:val="0045639B"/>
    <w:rsid w:val="00500125"/>
    <w:rsid w:val="00542EE1"/>
    <w:rsid w:val="00567DF2"/>
    <w:rsid w:val="005B5335"/>
    <w:rsid w:val="00616946"/>
    <w:rsid w:val="006D4536"/>
    <w:rsid w:val="00754967"/>
    <w:rsid w:val="007876B7"/>
    <w:rsid w:val="007E4CE5"/>
    <w:rsid w:val="0088733C"/>
    <w:rsid w:val="008A703F"/>
    <w:rsid w:val="008C2810"/>
    <w:rsid w:val="008D646E"/>
    <w:rsid w:val="008E6158"/>
    <w:rsid w:val="009A1803"/>
    <w:rsid w:val="009A65D4"/>
    <w:rsid w:val="00A22604"/>
    <w:rsid w:val="00A32924"/>
    <w:rsid w:val="00A46171"/>
    <w:rsid w:val="00AE5814"/>
    <w:rsid w:val="00B1539E"/>
    <w:rsid w:val="00B26F83"/>
    <w:rsid w:val="00B72703"/>
    <w:rsid w:val="00B877D6"/>
    <w:rsid w:val="00BA226B"/>
    <w:rsid w:val="00CF0541"/>
    <w:rsid w:val="00D57166"/>
    <w:rsid w:val="00DB7E6C"/>
    <w:rsid w:val="00DC2E74"/>
    <w:rsid w:val="00DE2A85"/>
    <w:rsid w:val="00DF4F54"/>
    <w:rsid w:val="00EB70DD"/>
    <w:rsid w:val="00F032B6"/>
    <w:rsid w:val="00FE2BB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EE7D4-97D6-48AD-B7D6-20BEFADF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2703"/>
    <w:pPr>
      <w:ind w:left="720"/>
      <w:contextualSpacing/>
    </w:pPr>
  </w:style>
  <w:style w:type="table" w:styleId="Tablaconcuadrcula">
    <w:name w:val="Table Grid"/>
    <w:basedOn w:val="Tablanormal"/>
    <w:uiPriority w:val="39"/>
    <w:rsid w:val="0054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5387</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NIELSEN</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ECONOMISTA</dc:creator>
  <cp:lastModifiedBy>ECONOMISTA FNFP</cp:lastModifiedBy>
  <cp:revision>2</cp:revision>
  <cp:lastPrinted>2019-09-16T17:02:00Z</cp:lastPrinted>
  <dcterms:created xsi:type="dcterms:W3CDTF">2019-12-17T14:45:00Z</dcterms:created>
  <dcterms:modified xsi:type="dcterms:W3CDTF">2019-12-17T14:45:00Z</dcterms:modified>
</cp:coreProperties>
</file>